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ערן שילה</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E23B60" w:rsidRDefault="00C51BEA" w:rsidP="00C51BEA">
                <w:pPr>
                  <w:bidi w:val="0"/>
                  <w:jc w:val="right"/>
                  <w:rPr>
                    <w:rFonts w:ascii="Arial" w:hAnsi="Arial"/>
                    <w:b/>
                    <w:bCs/>
                    <w:noProof w:val="0"/>
                    <w:sz w:val="26"/>
                    <w:szCs w:val="26"/>
                    <w:rtl/>
                  </w:rPr>
                </w:pPr>
                <w:r>
                  <w:rPr>
                    <w:rFonts w:ascii="Arial" w:hAnsi="Arial" w:hint="cs"/>
                    <w:b/>
                    <w:bCs/>
                    <w:noProof w:val="0"/>
                    <w:sz w:val="26"/>
                    <w:szCs w:val="26"/>
                    <w:rtl/>
                  </w:rPr>
                  <w:t>המערער:</w:t>
                </w:r>
              </w:p>
            </w:sdtContent>
          </w:sdt>
        </w:tc>
        <w:tc>
          <w:tcPr>
            <w:tcW w:w="5571" w:type="dxa"/>
          </w:tcPr>
          <w:p w:rsidR="002914D6" w:rsidRDefault="002914D6">
            <w:pPr>
              <w:rPr>
                <w:rFonts w:ascii="Arial" w:hAnsi="Arial"/>
                <w:b/>
                <w:bCs/>
                <w:noProof w:val="0"/>
                <w:sz w:val="26"/>
                <w:szCs w:val="26"/>
              </w:rPr>
            </w:pPr>
          </w:p>
          <w:p w:rsidR="002914D6" w:rsidRDefault="005C0C6D" w:rsidP="00C52061">
            <w:pPr>
              <w:rPr>
                <w:b/>
                <w:bCs/>
                <w:noProof w:val="0"/>
                <w:sz w:val="26"/>
                <w:szCs w:val="26"/>
              </w:rPr>
            </w:pPr>
            <w:sdt>
              <w:sdtPr>
                <w:rPr>
                  <w:rtl/>
                </w:rPr>
                <w:alias w:val="1478"/>
                <w:tag w:val="1478"/>
                <w:id w:val="-893967435"/>
                <w:text w:multiLine="1"/>
              </w:sdtPr>
              <w:sdtEndPr/>
              <w:sdtContent>
                <w:r w:rsidR="00C52061">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C52061">
                  <w:rPr>
                    <w:rFonts w:ascii="Arial" w:hAnsi="Arial" w:hint="cs"/>
                    <w:b/>
                    <w:bCs/>
                    <w:noProof w:val="0"/>
                    <w:sz w:val="26"/>
                    <w:szCs w:val="26"/>
                  </w:rPr>
                  <w:t>XXXXXXXXX</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5C0C6D" w:rsidP="00C51BEA">
            <w:pPr>
              <w:rPr>
                <w:rFonts w:ascii="Arial" w:hAnsi="Arial"/>
                <w:b/>
                <w:bCs/>
                <w:noProof w:val="0"/>
                <w:sz w:val="26"/>
                <w:szCs w:val="26"/>
              </w:rPr>
            </w:pPr>
            <w:sdt>
              <w:sdtPr>
                <w:rPr>
                  <w:rtl/>
                </w:rPr>
                <w:alias w:val="1184"/>
                <w:tag w:val="1184"/>
                <w:id w:val="-35981914"/>
                <w:text w:multiLine="1"/>
              </w:sdtPr>
              <w:sdtEndPr/>
              <w:sdtContent>
                <w:r w:rsidR="00C51BEA">
                  <w:rPr>
                    <w:rFonts w:ascii="Arial" w:hAnsi="Arial" w:hint="cs"/>
                    <w:b/>
                    <w:bCs/>
                    <w:noProof w:val="0"/>
                    <w:sz w:val="26"/>
                    <w:szCs w:val="26"/>
                    <w:rtl/>
                  </w:rPr>
                  <w:t>המשיבה:</w:t>
                </w:r>
              </w:sdtContent>
            </w:sdt>
          </w:p>
        </w:tc>
        <w:tc>
          <w:tcPr>
            <w:tcW w:w="5571" w:type="dxa"/>
          </w:tcPr>
          <w:p w:rsidR="002914D6" w:rsidRDefault="002914D6">
            <w:pPr>
              <w:rPr>
                <w:rFonts w:ascii="Arial" w:hAnsi="Arial"/>
                <w:b/>
                <w:bCs/>
                <w:noProof w:val="0"/>
                <w:sz w:val="26"/>
                <w:szCs w:val="26"/>
                <w:rtl/>
              </w:rPr>
            </w:pPr>
          </w:p>
          <w:p w:rsidR="002914D6" w:rsidRDefault="005C0C6D" w:rsidP="00C52061">
            <w:pPr>
              <w:rPr>
                <w:b/>
                <w:bCs/>
                <w:noProof w:val="0"/>
                <w:sz w:val="26"/>
                <w:szCs w:val="26"/>
                <w:rtl/>
              </w:rPr>
            </w:pPr>
            <w:sdt>
              <w:sdtPr>
                <w:rPr>
                  <w:rtl/>
                </w:rPr>
                <w:alias w:val="1486"/>
                <w:tag w:val="1486"/>
                <w:id w:val="-734459171"/>
                <w:text w:multiLine="1"/>
              </w:sdtPr>
              <w:sdtEndPr/>
              <w:sdtContent>
                <w:r w:rsidR="00C52061">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129076223"/>
                <w:text w:multiLine="1"/>
              </w:sdtPr>
              <w:sdtEndPr/>
              <w:sdtContent>
                <w:r w:rsidR="00C52061">
                  <w:rPr>
                    <w:rFonts w:ascii="Arial" w:hAnsi="Arial" w:hint="cs"/>
                    <w:b/>
                    <w:bCs/>
                    <w:noProof w:val="0"/>
                    <w:sz w:val="26"/>
                    <w:szCs w:val="26"/>
                  </w:rPr>
                  <w:t>XXXXXXXXX</w:t>
                </w:r>
              </w:sdtContent>
            </w:sdt>
          </w:p>
        </w:tc>
      </w:tr>
      <w:tr w:rsidR="00F03998" w:rsidTr="00260701">
        <w:trPr>
          <w:jc w:val="center"/>
        </w:trPr>
        <w:tc>
          <w:tcPr>
            <w:tcW w:w="8820" w:type="dxa"/>
            <w:gridSpan w:val="3"/>
          </w:tcPr>
          <w:p w:rsidR="00E23B60" w:rsidRDefault="00E23B60">
            <w:pPr>
              <w:rPr>
                <w:b/>
                <w:bCs/>
                <w:sz w:val="26"/>
                <w:szCs w:val="26"/>
              </w:rPr>
            </w:pPr>
          </w:p>
          <w:p w:rsidR="00F03998" w:rsidRDefault="00F03998">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C51BEA" w:rsidRDefault="00C51BEA">
      <w:pPr>
        <w:spacing w:line="360" w:lineRule="auto"/>
        <w:jc w:val="both"/>
        <w:rPr>
          <w:rFonts w:ascii="Arial" w:hAnsi="Arial"/>
          <w:noProof w:val="0"/>
          <w:rtl/>
        </w:rPr>
      </w:pPr>
    </w:p>
    <w:p w:rsidR="00C51BEA" w:rsidRPr="00C51BEA" w:rsidRDefault="00C51BEA" w:rsidP="00C51BEA">
      <w:pPr>
        <w:pStyle w:val="ad"/>
        <w:numPr>
          <w:ilvl w:val="0"/>
          <w:numId w:val="1"/>
        </w:numPr>
        <w:spacing w:line="360" w:lineRule="auto"/>
        <w:jc w:val="both"/>
        <w:rPr>
          <w:rFonts w:ascii="David" w:eastAsia="Calibri" w:hAnsi="David"/>
          <w:noProof w:val="0"/>
          <w:sz w:val="22"/>
          <w:szCs w:val="22"/>
        </w:rPr>
      </w:pPr>
      <w:r w:rsidRPr="00C51BEA">
        <w:rPr>
          <w:rFonts w:ascii="David" w:eastAsia="Calibri" w:hAnsi="David"/>
          <w:noProof w:val="0"/>
          <w:sz w:val="22"/>
          <w:szCs w:val="22"/>
          <w:rtl/>
        </w:rPr>
        <w:t xml:space="preserve">המדובר בערעור על החלטת רשמת ההוצאה לפועל (כבוד הרשמת דרמוני-יזדי) מיום 1.2.22 בגדרה נדחתה בקשה שהגיש המערער בטענת פרעתי. </w:t>
      </w:r>
    </w:p>
    <w:p w:rsidR="00C51BEA" w:rsidRPr="00C51BEA" w:rsidRDefault="00C51BEA" w:rsidP="00C51BEA">
      <w:pPr>
        <w:spacing w:line="360" w:lineRule="auto"/>
        <w:jc w:val="both"/>
        <w:rPr>
          <w:rFonts w:ascii="David" w:eastAsia="Calibri" w:hAnsi="David"/>
          <w:noProof w:val="0"/>
          <w:sz w:val="22"/>
          <w:szCs w:val="22"/>
          <w:rtl/>
        </w:rPr>
      </w:pPr>
    </w:p>
    <w:p w:rsidR="00C51BEA" w:rsidRPr="00C51BEA" w:rsidRDefault="00C51BEA" w:rsidP="00E07653">
      <w:pPr>
        <w:pStyle w:val="ad"/>
        <w:numPr>
          <w:ilvl w:val="0"/>
          <w:numId w:val="1"/>
        </w:numPr>
        <w:spacing w:line="360" w:lineRule="auto"/>
        <w:jc w:val="both"/>
        <w:rPr>
          <w:rFonts w:ascii="David" w:eastAsia="Calibri" w:hAnsi="David"/>
          <w:noProof w:val="0"/>
          <w:sz w:val="22"/>
          <w:szCs w:val="22"/>
          <w:rtl/>
        </w:rPr>
      </w:pPr>
      <w:r w:rsidRPr="00C51BEA">
        <w:rPr>
          <w:rFonts w:ascii="David" w:eastAsia="Calibri" w:hAnsi="David"/>
          <w:noProof w:val="0"/>
          <w:sz w:val="22"/>
          <w:szCs w:val="22"/>
          <w:rtl/>
        </w:rPr>
        <w:t>הצדדים הם בני זוג לשעבר ולהם תשעה ילדים משותפים (כיום כולם בגירים). לפני למעלה מעשרים שנה הגישה המשיבה תביעה למזונותיה שלה ושל תשעת ה</w:t>
      </w:r>
      <w:r w:rsidR="00D615F8">
        <w:rPr>
          <w:rFonts w:ascii="David" w:eastAsia="Calibri" w:hAnsi="David" w:hint="cs"/>
          <w:noProof w:val="0"/>
          <w:sz w:val="22"/>
          <w:szCs w:val="22"/>
          <w:rtl/>
        </w:rPr>
        <w:t>ילדים</w:t>
      </w:r>
      <w:r w:rsidRPr="00C51BEA">
        <w:rPr>
          <w:rFonts w:ascii="David" w:eastAsia="Calibri" w:hAnsi="David"/>
          <w:noProof w:val="0"/>
          <w:sz w:val="22"/>
          <w:szCs w:val="22"/>
          <w:rtl/>
        </w:rPr>
        <w:t xml:space="preserve"> לבית הדין הרבני. ביום 18.1.2000 ניתנה החלטה המחייבת את המערער לשלם מזונות בסך 4,000 ש"ח. תיק הוצאה לפועל נפתח בסמוך לאחר מתן החלטה, נמחק מח</w:t>
      </w:r>
      <w:r w:rsidR="001B1C63">
        <w:rPr>
          <w:rFonts w:ascii="David" w:eastAsia="Calibri" w:hAnsi="David" w:hint="cs"/>
          <w:noProof w:val="0"/>
          <w:sz w:val="22"/>
          <w:szCs w:val="22"/>
          <w:rtl/>
        </w:rPr>
        <w:t>ו</w:t>
      </w:r>
      <w:r w:rsidRPr="00C51BEA">
        <w:rPr>
          <w:rFonts w:ascii="David" w:eastAsia="Calibri" w:hAnsi="David"/>
          <w:noProof w:val="0"/>
          <w:sz w:val="22"/>
          <w:szCs w:val="22"/>
          <w:rtl/>
        </w:rPr>
        <w:t xml:space="preserve">סר מעש בשנת 2013 ונפתח מחדש בשנת 2017. </w:t>
      </w:r>
      <w:r w:rsidR="001B1C63">
        <w:rPr>
          <w:rFonts w:ascii="David" w:eastAsia="Calibri" w:hAnsi="David" w:hint="cs"/>
          <w:noProof w:val="0"/>
          <w:sz w:val="22"/>
          <w:szCs w:val="22"/>
          <w:rtl/>
        </w:rPr>
        <w:t xml:space="preserve">לאחר פתיחתו מחדש הוגשו לתיק </w:t>
      </w:r>
      <w:r w:rsidRPr="00C51BEA">
        <w:rPr>
          <w:rFonts w:ascii="David" w:eastAsia="Calibri" w:hAnsi="David"/>
          <w:noProof w:val="0"/>
          <w:sz w:val="22"/>
          <w:szCs w:val="22"/>
          <w:rtl/>
        </w:rPr>
        <w:t>שתי בקשות להגדלת חוב</w:t>
      </w:r>
      <w:r w:rsidR="00E07653">
        <w:rPr>
          <w:rFonts w:ascii="David" w:eastAsia="Calibri" w:hAnsi="David" w:hint="cs"/>
          <w:noProof w:val="0"/>
          <w:sz w:val="22"/>
          <w:szCs w:val="22"/>
          <w:rtl/>
        </w:rPr>
        <w:t>:</w:t>
      </w:r>
      <w:r w:rsidRPr="00C51BEA">
        <w:rPr>
          <w:rFonts w:ascii="David" w:eastAsia="Calibri" w:hAnsi="David"/>
          <w:noProof w:val="0"/>
          <w:sz w:val="22"/>
          <w:szCs w:val="22"/>
          <w:rtl/>
        </w:rPr>
        <w:t xml:space="preserve"> </w:t>
      </w:r>
      <w:r w:rsidRPr="00C51BEA">
        <w:rPr>
          <w:rFonts w:ascii="David" w:eastAsia="Calibri" w:hAnsi="David"/>
          <w:b/>
          <w:bCs/>
          <w:noProof w:val="0"/>
          <w:sz w:val="22"/>
          <w:szCs w:val="22"/>
          <w:u w:val="single"/>
          <w:rtl/>
        </w:rPr>
        <w:t>הראשונה</w:t>
      </w:r>
      <w:r w:rsidRPr="00C51BEA">
        <w:rPr>
          <w:rFonts w:ascii="David" w:eastAsia="Calibri" w:hAnsi="David"/>
          <w:noProof w:val="0"/>
          <w:sz w:val="22"/>
          <w:szCs w:val="22"/>
          <w:rtl/>
        </w:rPr>
        <w:t xml:space="preserve"> לתקופה שמסגירת התיק (בשנת 2013) ועד למועד פתיחתו (בשנת 2017), </w:t>
      </w:r>
      <w:r w:rsidRPr="00C51BEA">
        <w:rPr>
          <w:rFonts w:ascii="David" w:eastAsia="Calibri" w:hAnsi="David"/>
          <w:b/>
          <w:bCs/>
          <w:noProof w:val="0"/>
          <w:sz w:val="22"/>
          <w:szCs w:val="22"/>
          <w:u w:val="single"/>
          <w:rtl/>
        </w:rPr>
        <w:t>והשנייה</w:t>
      </w:r>
      <w:r w:rsidRPr="00C51BEA">
        <w:rPr>
          <w:rFonts w:ascii="David" w:eastAsia="Calibri" w:hAnsi="David"/>
          <w:noProof w:val="0"/>
          <w:sz w:val="22"/>
          <w:szCs w:val="22"/>
          <w:rtl/>
        </w:rPr>
        <w:t xml:space="preserve"> ממועד פתיחת התיק ועד לשנת 2019. שתי הבקשות התקבלו בהעדר תגובה. </w:t>
      </w:r>
    </w:p>
    <w:p w:rsidR="00C51BEA" w:rsidRPr="00C51BEA" w:rsidRDefault="00C51BEA" w:rsidP="00C51BEA">
      <w:pPr>
        <w:spacing w:line="360" w:lineRule="auto"/>
        <w:jc w:val="both"/>
        <w:rPr>
          <w:rFonts w:ascii="David" w:eastAsia="Calibri" w:hAnsi="David"/>
          <w:noProof w:val="0"/>
          <w:sz w:val="22"/>
          <w:szCs w:val="22"/>
          <w:rtl/>
        </w:rPr>
      </w:pPr>
    </w:p>
    <w:p w:rsidR="00C51BEA" w:rsidRPr="00BC74A0" w:rsidRDefault="00C51BEA" w:rsidP="00E07653">
      <w:pPr>
        <w:pStyle w:val="ad"/>
        <w:numPr>
          <w:ilvl w:val="0"/>
          <w:numId w:val="1"/>
        </w:numPr>
        <w:spacing w:line="360" w:lineRule="auto"/>
        <w:jc w:val="both"/>
        <w:rPr>
          <w:rFonts w:ascii="David" w:eastAsia="Calibri" w:hAnsi="David"/>
          <w:noProof w:val="0"/>
          <w:sz w:val="22"/>
          <w:szCs w:val="22"/>
          <w:rtl/>
        </w:rPr>
      </w:pPr>
      <w:r w:rsidRPr="00BC74A0">
        <w:rPr>
          <w:rFonts w:ascii="David" w:eastAsia="Calibri" w:hAnsi="David"/>
          <w:noProof w:val="0"/>
          <w:sz w:val="22"/>
          <w:szCs w:val="22"/>
          <w:rtl/>
        </w:rPr>
        <w:t xml:space="preserve">במסגרת בקשתו בלשכת ההוצאה לפועל העלה המערער שורה טענות, ואולם הערעור שלפנינו מתמקד בשלוש טענות שנדחו על ידי כבוד הרשמת. </w:t>
      </w:r>
      <w:r w:rsidR="00BC74A0" w:rsidRPr="00BC74A0">
        <w:rPr>
          <w:rFonts w:ascii="David" w:eastAsia="Calibri" w:hAnsi="David" w:hint="cs"/>
          <w:noProof w:val="0"/>
          <w:sz w:val="22"/>
          <w:szCs w:val="22"/>
          <w:rtl/>
        </w:rPr>
        <w:t xml:space="preserve">דיון בערעור התקיים ביום </w:t>
      </w:r>
      <w:r w:rsidRPr="00BC74A0">
        <w:rPr>
          <w:rFonts w:ascii="David" w:eastAsia="Calibri" w:hAnsi="David"/>
          <w:noProof w:val="0"/>
          <w:sz w:val="22"/>
          <w:szCs w:val="22"/>
          <w:rtl/>
        </w:rPr>
        <w:t xml:space="preserve">24.3.22 </w:t>
      </w:r>
      <w:r w:rsidR="00BC74A0">
        <w:rPr>
          <w:rFonts w:ascii="David" w:eastAsia="Calibri" w:hAnsi="David" w:hint="cs"/>
          <w:noProof w:val="0"/>
          <w:sz w:val="22"/>
          <w:szCs w:val="22"/>
          <w:rtl/>
        </w:rPr>
        <w:t xml:space="preserve">ובמסגרתו </w:t>
      </w:r>
      <w:r w:rsidRPr="00BC74A0">
        <w:rPr>
          <w:rFonts w:ascii="David" w:eastAsia="Calibri" w:hAnsi="David"/>
          <w:noProof w:val="0"/>
          <w:sz w:val="22"/>
          <w:szCs w:val="22"/>
          <w:rtl/>
        </w:rPr>
        <w:t>נבחנו מתווי פשרה כוללים המתייחסים גם לנושאים החורגים מהיקפו של הערעור. בהודעה מיום 3.4.22 הודיעה המשיבה, כי היא אינה מסכימה למתווה</w:t>
      </w:r>
      <w:r w:rsidR="00E07653">
        <w:rPr>
          <w:rFonts w:ascii="David" w:eastAsia="Calibri" w:hAnsi="David" w:hint="cs"/>
          <w:noProof w:val="0"/>
          <w:sz w:val="22"/>
          <w:szCs w:val="22"/>
          <w:rtl/>
        </w:rPr>
        <w:t xml:space="preserve"> מסוים</w:t>
      </w:r>
      <w:r w:rsidRPr="00BC74A0">
        <w:rPr>
          <w:rFonts w:ascii="David" w:eastAsia="Calibri" w:hAnsi="David"/>
          <w:noProof w:val="0"/>
          <w:sz w:val="22"/>
          <w:szCs w:val="22"/>
          <w:rtl/>
        </w:rPr>
        <w:t xml:space="preserve"> שהוצע וכן כי היא נותנת הסכמתה לקבלת הערעור ביחס להגדלת החוב </w:t>
      </w:r>
      <w:r w:rsidRPr="00BC74A0">
        <w:rPr>
          <w:rFonts w:ascii="David" w:eastAsia="Calibri" w:hAnsi="David"/>
          <w:b/>
          <w:bCs/>
          <w:noProof w:val="0"/>
          <w:sz w:val="22"/>
          <w:szCs w:val="22"/>
          <w:u w:val="single"/>
          <w:rtl/>
        </w:rPr>
        <w:t>השנייה</w:t>
      </w:r>
      <w:r w:rsidRPr="00BC74A0">
        <w:rPr>
          <w:rFonts w:ascii="David" w:eastAsia="Calibri" w:hAnsi="David"/>
          <w:noProof w:val="0"/>
          <w:sz w:val="22"/>
          <w:szCs w:val="22"/>
          <w:rtl/>
        </w:rPr>
        <w:t xml:space="preserve">. בנסיבות אלה על בית המשפט להכריע בשתי הטענות הנוספות. לאחר העיון במכלול החומר שהוגש - ושני הצדדים הגישו כתבי טענות ברורים וסדורים - ושמיעת הצדדים בדיון ניתן אפוא פסק דין זה. </w:t>
      </w:r>
    </w:p>
    <w:p w:rsidR="00C51BEA" w:rsidRPr="00C51BEA" w:rsidRDefault="00C51BEA" w:rsidP="00C51BEA">
      <w:pPr>
        <w:spacing w:line="360" w:lineRule="auto"/>
        <w:jc w:val="both"/>
        <w:rPr>
          <w:rFonts w:ascii="David" w:eastAsia="Calibri" w:hAnsi="David"/>
          <w:noProof w:val="0"/>
          <w:sz w:val="22"/>
          <w:szCs w:val="22"/>
          <w:rtl/>
        </w:rPr>
      </w:pPr>
    </w:p>
    <w:p w:rsidR="00C51BEA" w:rsidRPr="00C51BEA" w:rsidRDefault="00C51BEA" w:rsidP="00965CFE">
      <w:pPr>
        <w:pStyle w:val="ad"/>
        <w:numPr>
          <w:ilvl w:val="0"/>
          <w:numId w:val="1"/>
        </w:numPr>
        <w:spacing w:line="360" w:lineRule="auto"/>
        <w:jc w:val="both"/>
        <w:rPr>
          <w:rFonts w:ascii="David" w:eastAsia="Calibri" w:hAnsi="David"/>
          <w:noProof w:val="0"/>
          <w:sz w:val="22"/>
          <w:szCs w:val="22"/>
          <w:rtl/>
        </w:rPr>
      </w:pPr>
      <w:r w:rsidRPr="00C51BEA">
        <w:rPr>
          <w:rFonts w:ascii="David" w:eastAsia="Calibri" w:hAnsi="David"/>
          <w:noProof w:val="0"/>
          <w:sz w:val="22"/>
          <w:szCs w:val="22"/>
          <w:rtl/>
        </w:rPr>
        <w:t xml:space="preserve">נפתח בהגדלת החוב </w:t>
      </w:r>
      <w:r w:rsidRPr="001B1C63">
        <w:rPr>
          <w:rFonts w:ascii="David" w:eastAsia="Calibri" w:hAnsi="David"/>
          <w:b/>
          <w:bCs/>
          <w:noProof w:val="0"/>
          <w:sz w:val="22"/>
          <w:szCs w:val="22"/>
          <w:u w:val="single"/>
          <w:rtl/>
        </w:rPr>
        <w:t>הראשונה</w:t>
      </w:r>
      <w:r w:rsidRPr="00C51BEA">
        <w:rPr>
          <w:rFonts w:ascii="David" w:eastAsia="Calibri" w:hAnsi="David"/>
          <w:noProof w:val="0"/>
          <w:sz w:val="22"/>
          <w:szCs w:val="22"/>
          <w:rtl/>
        </w:rPr>
        <w:t xml:space="preserve">. הגדלת החוב בוצעה בהתאם לתחשיב לפיו עבור כל חודש </w:t>
      </w:r>
      <w:r w:rsidR="00142F62">
        <w:rPr>
          <w:rFonts w:ascii="David" w:eastAsia="Calibri" w:hAnsi="David" w:hint="cs"/>
          <w:noProof w:val="0"/>
          <w:sz w:val="22"/>
          <w:szCs w:val="22"/>
          <w:rtl/>
        </w:rPr>
        <w:t xml:space="preserve">וחודש </w:t>
      </w:r>
      <w:r w:rsidRPr="00C51BEA">
        <w:rPr>
          <w:rFonts w:ascii="David" w:eastAsia="Calibri" w:hAnsi="David"/>
          <w:noProof w:val="0"/>
          <w:sz w:val="22"/>
          <w:szCs w:val="22"/>
          <w:rtl/>
        </w:rPr>
        <w:t xml:space="preserve">מחודש אוקטובר 2013 ועד לחודש יוני 2017 עמד סכום המזונות על 4,000 ש"ח לחודש. זאת, אף שהצדדים כבר התגרשו (כך שלא היה חיוב במזונות המשיבה עצמה) ואף שבשלב זה </w:t>
      </w:r>
      <w:r w:rsidR="00F929AC">
        <w:rPr>
          <w:rFonts w:ascii="David" w:eastAsia="Calibri" w:hAnsi="David" w:hint="cs"/>
          <w:noProof w:val="0"/>
          <w:sz w:val="22"/>
          <w:szCs w:val="22"/>
          <w:rtl/>
        </w:rPr>
        <w:t>ה</w:t>
      </w:r>
      <w:r w:rsidR="00965CFE">
        <w:rPr>
          <w:rFonts w:ascii="David" w:eastAsia="Calibri" w:hAnsi="David" w:hint="cs"/>
          <w:noProof w:val="0"/>
          <w:sz w:val="22"/>
          <w:szCs w:val="22"/>
          <w:rtl/>
        </w:rPr>
        <w:t xml:space="preserve">רוב </w:t>
      </w:r>
      <w:r w:rsidR="00F929AC">
        <w:rPr>
          <w:rFonts w:ascii="David" w:eastAsia="Calibri" w:hAnsi="David" w:hint="cs"/>
          <w:noProof w:val="0"/>
          <w:sz w:val="22"/>
          <w:szCs w:val="22"/>
          <w:rtl/>
        </w:rPr>
        <w:t>ה</w:t>
      </w:r>
      <w:r w:rsidR="00965CFE">
        <w:rPr>
          <w:rFonts w:ascii="David" w:eastAsia="Calibri" w:hAnsi="David" w:hint="cs"/>
          <w:noProof w:val="0"/>
          <w:sz w:val="22"/>
          <w:szCs w:val="22"/>
          <w:rtl/>
        </w:rPr>
        <w:t>מכריע של</w:t>
      </w:r>
      <w:r w:rsidRPr="00C51BEA">
        <w:rPr>
          <w:rFonts w:ascii="David" w:eastAsia="Calibri" w:hAnsi="David"/>
          <w:noProof w:val="0"/>
          <w:sz w:val="22"/>
          <w:szCs w:val="22"/>
          <w:rtl/>
        </w:rPr>
        <w:t xml:space="preserve"> ילדי הצדדים כבר היו בגירים. כבוד הרשמת קבעה, כי "ככלל, בהעדר חלוקה של הסכום, צודקת הזוכה בטענתה, כי הוא אמור להיות משולם עד בגירת כל הקטינים", כי המערער השתהה בהעלאת </w:t>
      </w:r>
      <w:r w:rsidRPr="00C51BEA">
        <w:rPr>
          <w:rFonts w:ascii="David" w:eastAsia="Calibri" w:hAnsi="David"/>
          <w:noProof w:val="0"/>
          <w:sz w:val="22"/>
          <w:szCs w:val="22"/>
          <w:rtl/>
        </w:rPr>
        <w:lastRenderedPageBreak/>
        <w:t xml:space="preserve">הטענה וגם לא התנגד להגדלת החוב בזמן אמת, וכן כי "יש ממש בטענת הזוכה, כי הסכום שנקבע מלכתחילה, עבור דמי המזונות, 4,000 ש"ח עבור תשעה קטינים - היה נמוך ולא תואם לגובה דמי המזונות המינימליים... סבירה בעיני פרשנות הזוכה, כי הסכום נקבע באופן זה, תוך שבית הדין הרבני הנכבד לקח בחשבון את העובדה שהסכום ישולם עד הגיע אחרון הקטינים לגיל 18". </w:t>
      </w:r>
    </w:p>
    <w:p w:rsidR="00C51BEA" w:rsidRPr="00C51BEA" w:rsidRDefault="00C51BEA" w:rsidP="00C51BEA">
      <w:pPr>
        <w:spacing w:line="360" w:lineRule="auto"/>
        <w:jc w:val="both"/>
        <w:rPr>
          <w:rFonts w:ascii="David" w:eastAsia="Calibri" w:hAnsi="David"/>
          <w:noProof w:val="0"/>
          <w:sz w:val="22"/>
          <w:szCs w:val="22"/>
          <w:rtl/>
        </w:rPr>
      </w:pPr>
    </w:p>
    <w:p w:rsidR="00C51BEA" w:rsidRPr="00C51BEA" w:rsidRDefault="00C51BEA" w:rsidP="00E07653">
      <w:pPr>
        <w:pStyle w:val="ad"/>
        <w:numPr>
          <w:ilvl w:val="0"/>
          <w:numId w:val="1"/>
        </w:numPr>
        <w:spacing w:line="360" w:lineRule="auto"/>
        <w:jc w:val="both"/>
        <w:rPr>
          <w:rFonts w:ascii="David" w:eastAsia="Calibri" w:hAnsi="David"/>
          <w:noProof w:val="0"/>
          <w:sz w:val="22"/>
          <w:szCs w:val="22"/>
          <w:rtl/>
        </w:rPr>
      </w:pPr>
      <w:r w:rsidRPr="00C51BEA">
        <w:rPr>
          <w:rFonts w:ascii="David" w:eastAsia="Calibri" w:hAnsi="David"/>
          <w:noProof w:val="0"/>
          <w:sz w:val="22"/>
          <w:szCs w:val="22"/>
          <w:rtl/>
        </w:rPr>
        <w:t>סבורני כי ניתן לראות את הדברים גם אחרת, ובמקרה שלפנינו אף צריך לעשות כן. בהתאם לפסיק</w:t>
      </w:r>
      <w:r w:rsidR="00E07653">
        <w:rPr>
          <w:rFonts w:ascii="David" w:eastAsia="Calibri" w:hAnsi="David" w:hint="cs"/>
          <w:noProof w:val="0"/>
          <w:sz w:val="22"/>
          <w:szCs w:val="22"/>
          <w:rtl/>
        </w:rPr>
        <w:t>ה</w:t>
      </w:r>
      <w:r w:rsidRPr="00C51BEA">
        <w:rPr>
          <w:rFonts w:ascii="David" w:eastAsia="Calibri" w:hAnsi="David"/>
          <w:noProof w:val="0"/>
          <w:sz w:val="22"/>
          <w:szCs w:val="22"/>
          <w:rtl/>
        </w:rPr>
        <w:t xml:space="preserve"> בהעדר קביעה אחרת בפסק הדין יש לחלק את סכום המזונות שנפסק בין הזכאים למזונות בחלקים שווים. וכך נקבע ביחס לסכום שנפסק עבור שלושה זכאי מזונות: "הסכום שנפסק עבור שלשת המשיבים בבית משפט קמא מיועד, בהעדר קביעה אחרת לשלשת המשיבים בחלקים שווים, היינו משתמה החובה כלפי אחד מהם פוחת גם שליש מסכום המזונות" (ע"א 219/83 </w:t>
      </w:r>
      <w:r w:rsidRPr="00C51BEA">
        <w:rPr>
          <w:rFonts w:ascii="David" w:eastAsia="Calibri" w:hAnsi="David"/>
          <w:b/>
          <w:bCs/>
          <w:noProof w:val="0"/>
          <w:sz w:val="22"/>
          <w:szCs w:val="22"/>
          <w:rtl/>
        </w:rPr>
        <w:t>טייב נ' טייב</w:t>
      </w:r>
      <w:r w:rsidRPr="00C51BEA">
        <w:rPr>
          <w:rFonts w:ascii="David" w:eastAsia="Calibri" w:hAnsi="David"/>
          <w:noProof w:val="0"/>
          <w:sz w:val="22"/>
          <w:szCs w:val="22"/>
          <w:rtl/>
        </w:rPr>
        <w:t xml:space="preserve"> (24.9.84)). ובהמשך לכך נקבע: "הכלל הוא, שכאשר נפסקים מזונות לכמה זכאים (ילדים או אישה וילדים), יש לראות אותם במישור של הוצאה לפועל, כאילו נפסקו לכל אחד מהזכאים במידה שווה" (ת"א (משפחה תל אביב) 15270-96 </w:t>
      </w:r>
      <w:r w:rsidRPr="00C51BEA">
        <w:rPr>
          <w:rFonts w:ascii="David" w:eastAsia="Calibri" w:hAnsi="David"/>
          <w:b/>
          <w:bCs/>
          <w:noProof w:val="0"/>
          <w:sz w:val="22"/>
          <w:szCs w:val="22"/>
          <w:rtl/>
        </w:rPr>
        <w:t>פלוני נ' אלמונים</w:t>
      </w:r>
      <w:r w:rsidRPr="00C51BEA">
        <w:rPr>
          <w:rFonts w:ascii="David" w:eastAsia="Calibri" w:hAnsi="David"/>
          <w:noProof w:val="0"/>
          <w:sz w:val="22"/>
          <w:szCs w:val="22"/>
          <w:rtl/>
        </w:rPr>
        <w:t xml:space="preserve"> (6.5.96)).</w:t>
      </w:r>
    </w:p>
    <w:p w:rsidR="00C51BEA" w:rsidRPr="00C51BEA" w:rsidRDefault="00C51BEA" w:rsidP="00C51BEA">
      <w:pPr>
        <w:spacing w:line="360" w:lineRule="auto"/>
        <w:jc w:val="both"/>
        <w:rPr>
          <w:rFonts w:ascii="David" w:eastAsia="Calibri" w:hAnsi="David"/>
          <w:noProof w:val="0"/>
          <w:sz w:val="22"/>
          <w:szCs w:val="22"/>
          <w:rtl/>
        </w:rPr>
      </w:pPr>
    </w:p>
    <w:p w:rsidR="00C51BEA" w:rsidRDefault="00C51BEA" w:rsidP="000202B0">
      <w:pPr>
        <w:pStyle w:val="ad"/>
        <w:numPr>
          <w:ilvl w:val="0"/>
          <w:numId w:val="1"/>
        </w:numPr>
        <w:spacing w:line="360" w:lineRule="auto"/>
        <w:jc w:val="both"/>
        <w:rPr>
          <w:rFonts w:ascii="David" w:eastAsia="Calibri" w:hAnsi="David"/>
          <w:noProof w:val="0"/>
          <w:sz w:val="22"/>
          <w:szCs w:val="22"/>
        </w:rPr>
      </w:pPr>
      <w:r w:rsidRPr="00C51BEA">
        <w:rPr>
          <w:rFonts w:ascii="David" w:eastAsia="Calibri" w:hAnsi="David"/>
          <w:noProof w:val="0"/>
          <w:sz w:val="22"/>
          <w:szCs w:val="22"/>
          <w:rtl/>
        </w:rPr>
        <w:t xml:space="preserve">לטענת המשיבה, פרשנות כאמור של פסק דינו של בית הדין הרבני מביאה לתוצאה לפיה נפסק סכום זעום עבור כל אחד מהקטינים כאשר בשלב בו רק ילד אחד יהיה קטין היא תקבל מזונות בסך 400 </w:t>
      </w:r>
      <w:r w:rsidR="000202B0">
        <w:rPr>
          <w:rFonts w:ascii="David" w:eastAsia="Calibri" w:hAnsi="David" w:hint="cs"/>
          <w:noProof w:val="0"/>
          <w:sz w:val="22"/>
          <w:szCs w:val="22"/>
          <w:rtl/>
        </w:rPr>
        <w:t>ש"ח</w:t>
      </w:r>
      <w:r w:rsidR="001B1C63">
        <w:rPr>
          <w:rFonts w:ascii="David" w:eastAsia="Calibri" w:hAnsi="David" w:hint="cs"/>
          <w:noProof w:val="0"/>
          <w:sz w:val="22"/>
          <w:szCs w:val="22"/>
          <w:rtl/>
        </w:rPr>
        <w:t xml:space="preserve"> בלבד</w:t>
      </w:r>
      <w:r w:rsidRPr="00C51BEA">
        <w:rPr>
          <w:rFonts w:ascii="David" w:eastAsia="Calibri" w:hAnsi="David"/>
          <w:noProof w:val="0"/>
          <w:sz w:val="22"/>
          <w:szCs w:val="22"/>
          <w:rtl/>
        </w:rPr>
        <w:t xml:space="preserve">. בהקשר ראוי להתייחס לשני נתונים. </w:t>
      </w:r>
      <w:r w:rsidRPr="00C51BEA">
        <w:rPr>
          <w:rFonts w:ascii="David" w:eastAsia="Calibri" w:hAnsi="David"/>
          <w:b/>
          <w:bCs/>
          <w:noProof w:val="0"/>
          <w:sz w:val="22"/>
          <w:szCs w:val="22"/>
          <w:u w:val="single"/>
          <w:rtl/>
        </w:rPr>
        <w:t>ראשית</w:t>
      </w:r>
      <w:r w:rsidRPr="00C51BEA">
        <w:rPr>
          <w:rFonts w:ascii="David" w:eastAsia="Calibri" w:hAnsi="David"/>
          <w:noProof w:val="0"/>
          <w:sz w:val="22"/>
          <w:szCs w:val="22"/>
          <w:rtl/>
        </w:rPr>
        <w:t xml:space="preserve">, משמעות פרשנות המשיבה היא שעבור הילד הקטן ביותר היא תקבל סכום גבוה של 4,000 ש"ח; </w:t>
      </w:r>
      <w:r w:rsidRPr="00C51BEA">
        <w:rPr>
          <w:rFonts w:ascii="David" w:eastAsia="Calibri" w:hAnsi="David"/>
          <w:b/>
          <w:bCs/>
          <w:noProof w:val="0"/>
          <w:sz w:val="22"/>
          <w:szCs w:val="22"/>
          <w:u w:val="single"/>
          <w:rtl/>
        </w:rPr>
        <w:t>שנית</w:t>
      </w:r>
      <w:r w:rsidRPr="00C51BEA">
        <w:rPr>
          <w:rFonts w:ascii="David" w:eastAsia="Calibri" w:hAnsi="David"/>
          <w:noProof w:val="0"/>
          <w:sz w:val="22"/>
          <w:szCs w:val="22"/>
          <w:rtl/>
        </w:rPr>
        <w:t xml:space="preserve">, יש לזכור שהחלטת בית הדין הרבני מיום 18.1.2000 אמנם הוכתרה בכותרת "פסק דין" ואולם בפועל </w:t>
      </w:r>
      <w:r w:rsidR="004D1DA8">
        <w:rPr>
          <w:rFonts w:ascii="David" w:eastAsia="Calibri" w:hAnsi="David" w:hint="cs"/>
          <w:noProof w:val="0"/>
          <w:sz w:val="22"/>
          <w:szCs w:val="22"/>
          <w:rtl/>
        </w:rPr>
        <w:t xml:space="preserve">מסתבר כי </w:t>
      </w:r>
      <w:r w:rsidRPr="00C51BEA">
        <w:rPr>
          <w:rFonts w:ascii="David" w:eastAsia="Calibri" w:hAnsi="David"/>
          <w:noProof w:val="0"/>
          <w:sz w:val="22"/>
          <w:szCs w:val="22"/>
          <w:rtl/>
        </w:rPr>
        <w:t>מדובר בהחלטה למזונות זמניים ובסעיף ד' להחלטה נאמר "קובעים תאריך נוסף לדיון... להמשך הוכחות הצדדים בתביעת המזונות ויש להזמין הצדדים". החלטה בעניין מזונות זמניים נועדה להעניק סעד זמני לתקופה קצובה, ואך סביר שהיא אינה מתייחסת לאופן חלוקת הסכום בין זכאי המזונות השונים, או לסוגיית גובה המזונות לאחר גירושי הצדדים והגעת מי מהקטינים לגיל 18. בית המשפט אינו יודע מדוע ההליך בבית הדין הרבני לא הסתיים בפסק דין ככל משפטו וחוקתו, ואולם מבחינה משפטית - ובית המשפט בוודאי אינו מודע לדינמיקה בין הצדדים לפני יותר מעשרים שנה - המשיבה היתה התובעת</w:t>
      </w:r>
      <w:r w:rsidR="00E07653">
        <w:rPr>
          <w:rFonts w:ascii="David" w:eastAsia="Calibri" w:hAnsi="David" w:hint="cs"/>
          <w:noProof w:val="0"/>
          <w:sz w:val="22"/>
          <w:szCs w:val="22"/>
          <w:rtl/>
        </w:rPr>
        <w:t>, וכיום היא יוזמת הליכי ההוצאה לפועל,</w:t>
      </w:r>
      <w:r w:rsidRPr="00C51BEA">
        <w:rPr>
          <w:rFonts w:ascii="David" w:eastAsia="Calibri" w:hAnsi="David"/>
          <w:noProof w:val="0"/>
          <w:sz w:val="22"/>
          <w:szCs w:val="22"/>
          <w:rtl/>
        </w:rPr>
        <w:t xml:space="preserve"> והנטל עליה "לקבל" פסק דין סופי לטובתה. </w:t>
      </w:r>
    </w:p>
    <w:p w:rsidR="00AF502D" w:rsidRPr="00AF502D" w:rsidRDefault="00AF502D" w:rsidP="00AF502D">
      <w:pPr>
        <w:pStyle w:val="ad"/>
        <w:rPr>
          <w:rFonts w:ascii="David" w:eastAsia="Calibri" w:hAnsi="David"/>
          <w:noProof w:val="0"/>
          <w:sz w:val="22"/>
          <w:szCs w:val="22"/>
          <w:rtl/>
        </w:rPr>
      </w:pPr>
    </w:p>
    <w:p w:rsidR="00AF502D" w:rsidRPr="00881042" w:rsidRDefault="00AF502D" w:rsidP="00881042">
      <w:pPr>
        <w:pStyle w:val="ad"/>
        <w:numPr>
          <w:ilvl w:val="0"/>
          <w:numId w:val="1"/>
        </w:numPr>
        <w:spacing w:line="360" w:lineRule="auto"/>
        <w:jc w:val="both"/>
        <w:rPr>
          <w:rFonts w:ascii="David" w:eastAsia="Calibri" w:hAnsi="David"/>
          <w:noProof w:val="0"/>
          <w:sz w:val="22"/>
          <w:szCs w:val="22"/>
          <w:rtl/>
        </w:rPr>
      </w:pPr>
      <w:r w:rsidRPr="00881042">
        <w:rPr>
          <w:rFonts w:ascii="David" w:eastAsia="Calibri" w:hAnsi="David" w:hint="cs"/>
          <w:noProof w:val="0"/>
          <w:sz w:val="22"/>
          <w:szCs w:val="22"/>
          <w:rtl/>
        </w:rPr>
        <w:t>גם אם נניח שהפסיקה לפיה על רשם ההו</w:t>
      </w:r>
      <w:r w:rsidR="00881042" w:rsidRPr="00881042">
        <w:rPr>
          <w:rFonts w:ascii="David" w:eastAsia="Calibri" w:hAnsi="David" w:hint="cs"/>
          <w:noProof w:val="0"/>
          <w:sz w:val="22"/>
          <w:szCs w:val="22"/>
          <w:rtl/>
        </w:rPr>
        <w:t xml:space="preserve">צאה לפועל לחלק את סכום המזונות הכולל לפי מספר זכאי המזונות, יכולה להביא לתוצאה לפיה אחרון הקטינים יקבל סכום נמוך יחסית, מלאכת חלוקת סכום המזונות בין הזכאים היא מלאכתה של הערכאה הקובעת את סכום המזונות, וככלל פסקי דין מסוג זה אכן כוללים </w:t>
      </w:r>
      <w:r w:rsidR="00881042">
        <w:rPr>
          <w:rFonts w:ascii="David" w:eastAsia="Calibri" w:hAnsi="David" w:hint="cs"/>
          <w:noProof w:val="0"/>
          <w:sz w:val="22"/>
          <w:szCs w:val="22"/>
          <w:rtl/>
        </w:rPr>
        <w:t xml:space="preserve">כיום </w:t>
      </w:r>
      <w:r w:rsidR="00881042" w:rsidRPr="00881042">
        <w:rPr>
          <w:rFonts w:ascii="David" w:eastAsia="Calibri" w:hAnsi="David" w:hint="cs"/>
          <w:noProof w:val="0"/>
          <w:sz w:val="22"/>
          <w:szCs w:val="22"/>
          <w:rtl/>
        </w:rPr>
        <w:t>דירוג של סכומי המזונות או נותנים ביטוי אחר לכך שמספר ה</w:t>
      </w:r>
      <w:r w:rsidR="00881042">
        <w:rPr>
          <w:rFonts w:ascii="David" w:eastAsia="Calibri" w:hAnsi="David" w:hint="cs"/>
          <w:noProof w:val="0"/>
          <w:sz w:val="22"/>
          <w:szCs w:val="22"/>
          <w:rtl/>
        </w:rPr>
        <w:t>ז</w:t>
      </w:r>
      <w:r w:rsidR="00881042" w:rsidRPr="00881042">
        <w:rPr>
          <w:rFonts w:ascii="David" w:eastAsia="Calibri" w:hAnsi="David" w:hint="cs"/>
          <w:noProof w:val="0"/>
          <w:sz w:val="22"/>
          <w:szCs w:val="22"/>
          <w:rtl/>
        </w:rPr>
        <w:t xml:space="preserve">כאים </w:t>
      </w:r>
      <w:r w:rsidR="00881042">
        <w:rPr>
          <w:rFonts w:ascii="David" w:eastAsia="Calibri" w:hAnsi="David" w:hint="cs"/>
          <w:noProof w:val="0"/>
          <w:sz w:val="22"/>
          <w:szCs w:val="22"/>
          <w:rtl/>
        </w:rPr>
        <w:t xml:space="preserve">להם מצטמצם.  עוד חשוב לזכור, כי שעה שמדובר בפסק דין למזונות שערי הערכאה המבררת נותרים - במידה זו או אחרת - פתוחים, ובמידת הצורך אם אכן נוצר מצב בלתי-סביר ניתן להביא את הסוגיה להכרעתה. </w:t>
      </w:r>
      <w:r w:rsidR="003826C0">
        <w:rPr>
          <w:rFonts w:ascii="David" w:eastAsia="Calibri" w:hAnsi="David" w:hint="cs"/>
          <w:noProof w:val="0"/>
          <w:sz w:val="22"/>
          <w:szCs w:val="22"/>
          <w:rtl/>
        </w:rPr>
        <w:t xml:space="preserve">גם שיקול זה רלבנטי בכל הנוגע לתחימת גדרי היקף שיקול דעתו הפרשני של רשם ההוצאה לפועל. </w:t>
      </w:r>
    </w:p>
    <w:p w:rsidR="00C51BEA" w:rsidRPr="00C51BEA" w:rsidRDefault="00C51BEA" w:rsidP="00C51BEA">
      <w:pPr>
        <w:spacing w:line="360" w:lineRule="auto"/>
        <w:jc w:val="both"/>
        <w:rPr>
          <w:rFonts w:ascii="David" w:eastAsia="Calibri" w:hAnsi="David"/>
          <w:noProof w:val="0"/>
          <w:sz w:val="22"/>
          <w:szCs w:val="22"/>
          <w:rtl/>
        </w:rPr>
      </w:pPr>
    </w:p>
    <w:p w:rsidR="00C51BEA" w:rsidRPr="004A531F" w:rsidRDefault="00C51BEA" w:rsidP="00AE7D73">
      <w:pPr>
        <w:pStyle w:val="ad"/>
        <w:numPr>
          <w:ilvl w:val="0"/>
          <w:numId w:val="1"/>
        </w:numPr>
        <w:spacing w:line="360" w:lineRule="auto"/>
        <w:jc w:val="both"/>
        <w:rPr>
          <w:rFonts w:ascii="David" w:eastAsia="Calibri" w:hAnsi="David"/>
          <w:noProof w:val="0"/>
          <w:sz w:val="22"/>
          <w:szCs w:val="22"/>
          <w:rtl/>
        </w:rPr>
      </w:pPr>
      <w:r w:rsidRPr="004A531F">
        <w:rPr>
          <w:rFonts w:ascii="David" w:eastAsia="Calibri" w:hAnsi="David"/>
          <w:noProof w:val="0"/>
          <w:sz w:val="22"/>
          <w:szCs w:val="22"/>
          <w:rtl/>
        </w:rPr>
        <w:t>ואולם, בענייננו מעבר למחלוקת כיצד יש לפרש את החלטת בית הדין הרבני, קיימת סוגיה נוספת אשר במישור הדיוני-משפטי יכולה להש</w:t>
      </w:r>
      <w:r w:rsidR="00C41BC8" w:rsidRPr="004A531F">
        <w:rPr>
          <w:rFonts w:ascii="David" w:eastAsia="Calibri" w:hAnsi="David"/>
          <w:noProof w:val="0"/>
          <w:sz w:val="22"/>
          <w:szCs w:val="22"/>
          <w:rtl/>
        </w:rPr>
        <w:t xml:space="preserve">יק ואולי לגעת גם בסוגיית תום </w:t>
      </w:r>
      <w:r w:rsidR="00C41BC8" w:rsidRPr="004A531F">
        <w:rPr>
          <w:rFonts w:ascii="David" w:eastAsia="Calibri" w:hAnsi="David" w:hint="cs"/>
          <w:noProof w:val="0"/>
          <w:sz w:val="22"/>
          <w:szCs w:val="22"/>
          <w:rtl/>
        </w:rPr>
        <w:t xml:space="preserve">הלב באופן </w:t>
      </w:r>
      <w:r w:rsidR="00D008EE" w:rsidRPr="004A531F">
        <w:rPr>
          <w:rFonts w:ascii="David" w:eastAsia="Calibri" w:hAnsi="David" w:hint="cs"/>
          <w:noProof w:val="0"/>
          <w:sz w:val="22"/>
          <w:szCs w:val="22"/>
          <w:rtl/>
        </w:rPr>
        <w:t xml:space="preserve">שצריך היה להטות </w:t>
      </w:r>
      <w:r w:rsidR="00D008EE" w:rsidRPr="004A531F">
        <w:rPr>
          <w:rFonts w:ascii="David" w:eastAsia="Calibri" w:hAnsi="David" w:hint="cs"/>
          <w:noProof w:val="0"/>
          <w:sz w:val="22"/>
          <w:szCs w:val="22"/>
          <w:rtl/>
        </w:rPr>
        <w:lastRenderedPageBreak/>
        <w:t>את הכף</w:t>
      </w:r>
      <w:r w:rsidR="003826C0" w:rsidRPr="004A531F">
        <w:rPr>
          <w:rFonts w:ascii="David" w:eastAsia="Calibri" w:hAnsi="David" w:hint="cs"/>
          <w:noProof w:val="0"/>
          <w:sz w:val="22"/>
          <w:szCs w:val="22"/>
          <w:rtl/>
        </w:rPr>
        <w:t xml:space="preserve"> (ואף עשוי</w:t>
      </w:r>
      <w:r w:rsidR="004A531F">
        <w:rPr>
          <w:rFonts w:ascii="David" w:eastAsia="Calibri" w:hAnsi="David" w:hint="cs"/>
          <w:noProof w:val="0"/>
          <w:sz w:val="22"/>
          <w:szCs w:val="22"/>
          <w:rtl/>
        </w:rPr>
        <w:t>ה</w:t>
      </w:r>
      <w:r w:rsidR="003826C0" w:rsidRPr="004A531F">
        <w:rPr>
          <w:rFonts w:ascii="David" w:eastAsia="Calibri" w:hAnsi="David" w:hint="cs"/>
          <w:noProof w:val="0"/>
          <w:sz w:val="22"/>
          <w:szCs w:val="22"/>
          <w:rtl/>
        </w:rPr>
        <w:t xml:space="preserve"> להיות ר</w:t>
      </w:r>
      <w:r w:rsidR="001D7508" w:rsidRPr="004A531F">
        <w:rPr>
          <w:rFonts w:ascii="David" w:eastAsia="Calibri" w:hAnsi="David" w:hint="cs"/>
          <w:noProof w:val="0"/>
          <w:sz w:val="22"/>
          <w:szCs w:val="22"/>
          <w:rtl/>
        </w:rPr>
        <w:t>לבנטי</w:t>
      </w:r>
      <w:r w:rsidR="004A531F">
        <w:rPr>
          <w:rFonts w:ascii="David" w:eastAsia="Calibri" w:hAnsi="David" w:hint="cs"/>
          <w:noProof w:val="0"/>
          <w:sz w:val="22"/>
          <w:szCs w:val="22"/>
          <w:rtl/>
        </w:rPr>
        <w:t>ת</w:t>
      </w:r>
      <w:r w:rsidR="001D7508" w:rsidRPr="004A531F">
        <w:rPr>
          <w:rFonts w:ascii="David" w:eastAsia="Calibri" w:hAnsi="David" w:hint="cs"/>
          <w:noProof w:val="0"/>
          <w:sz w:val="22"/>
          <w:szCs w:val="22"/>
          <w:rtl/>
        </w:rPr>
        <w:t xml:space="preserve"> בכל הנוגע להפעלת הסמ</w:t>
      </w:r>
      <w:r w:rsidR="004A531F" w:rsidRPr="004A531F">
        <w:rPr>
          <w:rFonts w:ascii="David" w:eastAsia="Calibri" w:hAnsi="David" w:hint="cs"/>
          <w:noProof w:val="0"/>
          <w:sz w:val="22"/>
          <w:szCs w:val="22"/>
          <w:rtl/>
        </w:rPr>
        <w:t>כ</w:t>
      </w:r>
      <w:r w:rsidR="001D7508" w:rsidRPr="004A531F">
        <w:rPr>
          <w:rFonts w:ascii="David" w:eastAsia="Calibri" w:hAnsi="David" w:hint="cs"/>
          <w:noProof w:val="0"/>
          <w:sz w:val="22"/>
          <w:szCs w:val="22"/>
          <w:rtl/>
        </w:rPr>
        <w:t>ות הקבועה בסעיף</w:t>
      </w:r>
      <w:r w:rsidR="004A531F" w:rsidRPr="004A531F">
        <w:rPr>
          <w:rFonts w:ascii="David" w:eastAsia="Calibri" w:hAnsi="David" w:hint="cs"/>
          <w:noProof w:val="0"/>
          <w:sz w:val="22"/>
          <w:szCs w:val="22"/>
          <w:rtl/>
        </w:rPr>
        <w:t xml:space="preserve"> 8 לחוק בית המשפט לענייני משפחה. תשנ"ה - 1995 שמטרתה 'עשיית</w:t>
      </w:r>
      <w:r w:rsidR="004A531F">
        <w:rPr>
          <w:rFonts w:ascii="David" w:eastAsia="Calibri" w:hAnsi="David" w:hint="cs"/>
          <w:noProof w:val="0"/>
          <w:sz w:val="22"/>
          <w:szCs w:val="22"/>
          <w:rtl/>
        </w:rPr>
        <w:t xml:space="preserve"> משפט</w:t>
      </w:r>
      <w:r w:rsidR="004A531F" w:rsidRPr="004A531F">
        <w:rPr>
          <w:rFonts w:ascii="David" w:eastAsia="Calibri" w:hAnsi="David" w:hint="cs"/>
          <w:noProof w:val="0"/>
          <w:sz w:val="22"/>
          <w:szCs w:val="22"/>
          <w:rtl/>
        </w:rPr>
        <w:t xml:space="preserve"> צדק')</w:t>
      </w:r>
      <w:r w:rsidRPr="004A531F">
        <w:rPr>
          <w:rFonts w:ascii="David" w:eastAsia="Calibri" w:hAnsi="David"/>
          <w:noProof w:val="0"/>
          <w:sz w:val="22"/>
          <w:szCs w:val="22"/>
          <w:rtl/>
        </w:rPr>
        <w:t xml:space="preserve">. בשנת 2010 בטרם נסגר תיק ההוצאה לפועל ביקשה המשיבה להגדיל חוב לפי תחשיב של 4,000 ש"ח לחודש (כפי שעשתה בבקשתה משנת 2017) ובקשתה </w:t>
      </w:r>
      <w:r w:rsidRPr="004A531F">
        <w:rPr>
          <w:rFonts w:ascii="David" w:eastAsia="Calibri" w:hAnsi="David"/>
          <w:b/>
          <w:bCs/>
          <w:noProof w:val="0"/>
          <w:sz w:val="22"/>
          <w:szCs w:val="22"/>
          <w:u w:val="single"/>
          <w:rtl/>
        </w:rPr>
        <w:t>נדחתה</w:t>
      </w:r>
      <w:r w:rsidRPr="004A531F">
        <w:rPr>
          <w:rFonts w:ascii="David" w:eastAsia="Calibri" w:hAnsi="David"/>
          <w:noProof w:val="0"/>
          <w:sz w:val="22"/>
          <w:szCs w:val="22"/>
          <w:rtl/>
        </w:rPr>
        <w:t xml:space="preserve"> על ידי כבוד הרשמת: </w:t>
      </w:r>
    </w:p>
    <w:p w:rsidR="00C51BEA" w:rsidRPr="00C51BEA" w:rsidRDefault="00C51BEA" w:rsidP="00C51BEA">
      <w:pPr>
        <w:spacing w:line="360" w:lineRule="auto"/>
        <w:jc w:val="both"/>
        <w:rPr>
          <w:rFonts w:ascii="David" w:eastAsia="Calibri" w:hAnsi="David"/>
          <w:noProof w:val="0"/>
          <w:sz w:val="22"/>
          <w:szCs w:val="22"/>
          <w:rtl/>
        </w:rPr>
      </w:pPr>
    </w:p>
    <w:p w:rsidR="00C51BEA" w:rsidRPr="00D008EE" w:rsidRDefault="00C51BEA" w:rsidP="00D008EE">
      <w:pPr>
        <w:pStyle w:val="ad"/>
        <w:spacing w:line="276" w:lineRule="auto"/>
        <w:ind w:left="2126" w:right="1418"/>
        <w:jc w:val="both"/>
        <w:rPr>
          <w:rFonts w:ascii="Calibri" w:eastAsia="Calibri" w:hAnsi="Calibri"/>
          <w:noProof w:val="0"/>
          <w:sz w:val="22"/>
          <w:szCs w:val="22"/>
          <w:rtl/>
        </w:rPr>
      </w:pPr>
      <w:r w:rsidRPr="00D008EE">
        <w:rPr>
          <w:rFonts w:ascii="Calibri" w:eastAsia="Calibri" w:hAnsi="Calibri"/>
          <w:noProof w:val="0"/>
          <w:sz w:val="22"/>
          <w:szCs w:val="22"/>
          <w:rtl/>
        </w:rPr>
        <w:t xml:space="preserve">"אני דוחה את בקשת הזוכה להגדלת קרן החוב, שעה שלא הוכחשה טענת החייב, כי ההגדלה המבוקשת הינה בגין חיובים למזונות האישה לאחר מועד הגירושין ולמזונות הילדים ממועד בגירותם" (החלטת כבוד הרשמת שביט מיום 10.11.2010). </w:t>
      </w:r>
    </w:p>
    <w:p w:rsidR="00C51BEA" w:rsidRPr="00C51BEA" w:rsidRDefault="00C51BEA" w:rsidP="00C51BEA">
      <w:pPr>
        <w:spacing w:line="360" w:lineRule="auto"/>
        <w:jc w:val="both"/>
        <w:rPr>
          <w:rFonts w:ascii="David" w:eastAsia="Calibri" w:hAnsi="David"/>
          <w:noProof w:val="0"/>
          <w:sz w:val="22"/>
          <w:szCs w:val="22"/>
          <w:rtl/>
        </w:rPr>
      </w:pPr>
    </w:p>
    <w:p w:rsidR="00C51BEA" w:rsidRPr="00C51BEA" w:rsidRDefault="00C51BEA" w:rsidP="004A531F">
      <w:pPr>
        <w:pStyle w:val="ad"/>
        <w:numPr>
          <w:ilvl w:val="0"/>
          <w:numId w:val="1"/>
        </w:numPr>
        <w:spacing w:line="360" w:lineRule="auto"/>
        <w:jc w:val="both"/>
        <w:rPr>
          <w:rFonts w:ascii="David" w:eastAsia="Calibri" w:hAnsi="David"/>
          <w:noProof w:val="0"/>
          <w:sz w:val="22"/>
          <w:szCs w:val="22"/>
          <w:rtl/>
        </w:rPr>
      </w:pPr>
      <w:r w:rsidRPr="00C51BEA">
        <w:rPr>
          <w:rFonts w:ascii="David" w:eastAsia="Calibri" w:hAnsi="David"/>
          <w:noProof w:val="0"/>
          <w:sz w:val="22"/>
          <w:szCs w:val="22"/>
          <w:rtl/>
        </w:rPr>
        <w:t xml:space="preserve">לשון אחר: המשיבה כבר ניסתה להגדיל חוב בתיק </w:t>
      </w:r>
      <w:r w:rsidR="00996C44">
        <w:rPr>
          <w:rFonts w:ascii="David" w:eastAsia="Calibri" w:hAnsi="David" w:hint="cs"/>
          <w:noProof w:val="0"/>
          <w:sz w:val="22"/>
          <w:szCs w:val="22"/>
          <w:rtl/>
        </w:rPr>
        <w:t>בהתאם לתחשיב לו היא טוענת כיום</w:t>
      </w:r>
      <w:r w:rsidRPr="00C51BEA">
        <w:rPr>
          <w:rFonts w:ascii="David" w:eastAsia="Calibri" w:hAnsi="David"/>
          <w:noProof w:val="0"/>
          <w:sz w:val="22"/>
          <w:szCs w:val="22"/>
          <w:rtl/>
        </w:rPr>
        <w:t xml:space="preserve"> ובקשתה נדחתה. המשיבה לכאורה לא ערערה על פרשנות כבוד הרשמת שביט (וסבורני, כאמור, כי מדובר בפרשנות הראויה בנסיבות), ואינני סבור שיש מקום לנצל את חלוף השנים ושינוי הרשמים כדי לנסות להגדיל חוב באמצעות טענה</w:t>
      </w:r>
      <w:r w:rsidR="004A531F">
        <w:rPr>
          <w:rFonts w:ascii="David" w:eastAsia="Calibri" w:hAnsi="David" w:hint="cs"/>
          <w:noProof w:val="0"/>
          <w:sz w:val="22"/>
          <w:szCs w:val="22"/>
          <w:rtl/>
        </w:rPr>
        <w:t xml:space="preserve"> ותחשיב</w:t>
      </w:r>
      <w:r w:rsidRPr="00C51BEA">
        <w:rPr>
          <w:rFonts w:ascii="David" w:eastAsia="Calibri" w:hAnsi="David"/>
          <w:noProof w:val="0"/>
          <w:sz w:val="22"/>
          <w:szCs w:val="22"/>
          <w:rtl/>
        </w:rPr>
        <w:t xml:space="preserve"> שכבר נדח</w:t>
      </w:r>
      <w:r w:rsidR="004A531F">
        <w:rPr>
          <w:rFonts w:ascii="David" w:eastAsia="Calibri" w:hAnsi="David" w:hint="cs"/>
          <w:noProof w:val="0"/>
          <w:sz w:val="22"/>
          <w:szCs w:val="22"/>
          <w:rtl/>
        </w:rPr>
        <w:t>ו</w:t>
      </w:r>
      <w:r w:rsidRPr="00C51BEA">
        <w:rPr>
          <w:rFonts w:ascii="David" w:eastAsia="Calibri" w:hAnsi="David"/>
          <w:noProof w:val="0"/>
          <w:sz w:val="22"/>
          <w:szCs w:val="22"/>
          <w:rtl/>
        </w:rPr>
        <w:t xml:space="preserve">. כך מטעמים הנוגעים למעשה בית דין וכך מטעמים הנוגעים לתום לב דיוני. </w:t>
      </w:r>
    </w:p>
    <w:p w:rsidR="00C51BEA" w:rsidRPr="00C51BEA" w:rsidRDefault="00C51BEA" w:rsidP="00C51BEA">
      <w:pPr>
        <w:spacing w:line="360" w:lineRule="auto"/>
        <w:jc w:val="both"/>
        <w:rPr>
          <w:rFonts w:ascii="David" w:eastAsia="Calibri" w:hAnsi="David"/>
          <w:noProof w:val="0"/>
          <w:sz w:val="22"/>
          <w:szCs w:val="22"/>
          <w:rtl/>
        </w:rPr>
      </w:pPr>
    </w:p>
    <w:p w:rsidR="00C51BEA" w:rsidRPr="00C51BEA" w:rsidRDefault="00C51BEA" w:rsidP="003E2406">
      <w:pPr>
        <w:pStyle w:val="ad"/>
        <w:numPr>
          <w:ilvl w:val="0"/>
          <w:numId w:val="1"/>
        </w:numPr>
        <w:spacing w:line="360" w:lineRule="auto"/>
        <w:jc w:val="both"/>
        <w:rPr>
          <w:rFonts w:ascii="David" w:eastAsia="Calibri" w:hAnsi="David"/>
          <w:noProof w:val="0"/>
          <w:sz w:val="22"/>
          <w:szCs w:val="22"/>
          <w:rtl/>
        </w:rPr>
      </w:pPr>
      <w:r w:rsidRPr="00C51BEA">
        <w:rPr>
          <w:rFonts w:ascii="David" w:eastAsia="Calibri" w:hAnsi="David"/>
          <w:noProof w:val="0"/>
          <w:sz w:val="22"/>
          <w:szCs w:val="22"/>
          <w:rtl/>
        </w:rPr>
        <w:t xml:space="preserve">לא למותר לציין, כי גם ביחס להגדלת החוב </w:t>
      </w:r>
      <w:r w:rsidRPr="00C51BEA">
        <w:rPr>
          <w:rFonts w:ascii="David" w:eastAsia="Calibri" w:hAnsi="David"/>
          <w:b/>
          <w:bCs/>
          <w:noProof w:val="0"/>
          <w:sz w:val="22"/>
          <w:szCs w:val="22"/>
          <w:u w:val="single"/>
          <w:rtl/>
        </w:rPr>
        <w:t>השנייה</w:t>
      </w:r>
      <w:r w:rsidRPr="00C51BEA">
        <w:rPr>
          <w:rFonts w:ascii="David" w:eastAsia="Calibri" w:hAnsi="David"/>
          <w:noProof w:val="0"/>
          <w:sz w:val="22"/>
          <w:szCs w:val="22"/>
          <w:rtl/>
        </w:rPr>
        <w:t xml:space="preserve"> - לגביה ניתנה הסכמת המשיבה לקבלת הערעור - קיימת התנהלות </w:t>
      </w:r>
      <w:r w:rsidR="003E2406">
        <w:rPr>
          <w:rFonts w:ascii="David" w:eastAsia="Calibri" w:hAnsi="David" w:hint="cs"/>
          <w:noProof w:val="0"/>
          <w:sz w:val="22"/>
          <w:szCs w:val="22"/>
          <w:rtl/>
        </w:rPr>
        <w:t>שאינה חפה מספקות</w:t>
      </w:r>
      <w:r w:rsidRPr="00C51BEA">
        <w:rPr>
          <w:rFonts w:ascii="David" w:eastAsia="Calibri" w:hAnsi="David"/>
          <w:noProof w:val="0"/>
          <w:sz w:val="22"/>
          <w:szCs w:val="22"/>
          <w:rtl/>
        </w:rPr>
        <w:t xml:space="preserve">. הגדלת החוב השנייה, לפי תחשיב של 4,000 ש"ח לחודש לשנים 2019-2017 (וסך הכל 100,000 ש"ח) מתייחסת לתקופה בה </w:t>
      </w:r>
      <w:r w:rsidRPr="00C51BEA">
        <w:rPr>
          <w:rFonts w:ascii="David" w:eastAsia="Calibri" w:hAnsi="David"/>
          <w:b/>
          <w:bCs/>
          <w:noProof w:val="0"/>
          <w:sz w:val="22"/>
          <w:szCs w:val="22"/>
          <w:u w:val="single"/>
          <w:rtl/>
        </w:rPr>
        <w:t>לא היה אף לא קטין אחד</w:t>
      </w:r>
      <w:r w:rsidRPr="00C51BEA">
        <w:rPr>
          <w:rFonts w:ascii="David" w:eastAsia="Calibri" w:hAnsi="David"/>
          <w:noProof w:val="0"/>
          <w:sz w:val="22"/>
          <w:szCs w:val="22"/>
          <w:rtl/>
        </w:rPr>
        <w:t xml:space="preserve"> הזכאי למזונות. לא בכדי קבעה כבוד הרשמת כי "</w:t>
      </w:r>
      <w:r w:rsidR="0041661C">
        <w:rPr>
          <w:rFonts w:ascii="David" w:eastAsia="Calibri" w:hAnsi="David" w:hint="cs"/>
          <w:noProof w:val="0"/>
          <w:sz w:val="22"/>
          <w:szCs w:val="22"/>
          <w:rtl/>
        </w:rPr>
        <w:t>ל</w:t>
      </w:r>
      <w:r w:rsidRPr="00C51BEA">
        <w:rPr>
          <w:rFonts w:ascii="David" w:eastAsia="Calibri" w:hAnsi="David"/>
          <w:noProof w:val="0"/>
          <w:sz w:val="22"/>
          <w:szCs w:val="22"/>
          <w:rtl/>
        </w:rPr>
        <w:t xml:space="preserve">מעשה מסתבר כיום, כי הגדלת החוב נעשתה מתוך טעות, כאשר אין לזוכה זכאות עוד לגבות דמי מזונות אלה" וכן </w:t>
      </w:r>
      <w:r w:rsidR="0041661C">
        <w:rPr>
          <w:rFonts w:ascii="David" w:eastAsia="Calibri" w:hAnsi="David" w:hint="cs"/>
          <w:noProof w:val="0"/>
          <w:sz w:val="22"/>
          <w:szCs w:val="22"/>
          <w:rtl/>
        </w:rPr>
        <w:t xml:space="preserve">כי </w:t>
      </w:r>
      <w:r w:rsidRPr="00C51BEA">
        <w:rPr>
          <w:rFonts w:ascii="David" w:eastAsia="Calibri" w:hAnsi="David"/>
          <w:noProof w:val="0"/>
          <w:sz w:val="22"/>
          <w:szCs w:val="22"/>
          <w:rtl/>
        </w:rPr>
        <w:t xml:space="preserve">"דחיית הטענה תביא למעשה לאשרור של הגדלת החוב, כאשר הזוכה אינה זכאית להגדלת חוב זו כלל". כבוד הרשמת סברה, כי מאחר שהמערער לא התנגד בזמן אמת להחלטה בדבר הגדלת החוב, אין היא יכולה לשנות ממנה במסגרת הדיון בטענת פרעתי, אך היא ביקשה מהמשיבה להודיע בתוך 7 ימים אם היא מסכימה לביטול הגדלה זו. הודעה כאמור לא נמסרה עד להודעה שהוגשה לאחר הדיון בערעור. </w:t>
      </w:r>
      <w:r w:rsidR="00BE4806">
        <w:rPr>
          <w:rFonts w:ascii="David" w:eastAsia="Calibri" w:hAnsi="David" w:hint="cs"/>
          <w:noProof w:val="0"/>
          <w:sz w:val="22"/>
          <w:szCs w:val="22"/>
          <w:rtl/>
        </w:rPr>
        <w:t xml:space="preserve">מבלי להביע כל עמדה לגבי טענות המשיבה בדבר התנהלות בעייתית מצד הנתבע לאורך השנים (ראו לדוגמה סעיפים 2-1 ו-5 להודעתה מיום 30.4.22), בכל הנוגע להגדלות החוב העומדות ביסוד ערעור זה התנהלותה היתה </w:t>
      </w:r>
      <w:r w:rsidR="003E2406">
        <w:rPr>
          <w:rFonts w:ascii="David" w:eastAsia="Calibri" w:hAnsi="David" w:hint="cs"/>
          <w:noProof w:val="0"/>
          <w:sz w:val="22"/>
          <w:szCs w:val="22"/>
          <w:rtl/>
        </w:rPr>
        <w:t xml:space="preserve">לא-פשוטה </w:t>
      </w:r>
      <w:r w:rsidR="00BE4806">
        <w:rPr>
          <w:rFonts w:ascii="David" w:eastAsia="Calibri" w:hAnsi="David" w:hint="cs"/>
          <w:noProof w:val="0"/>
          <w:sz w:val="22"/>
          <w:szCs w:val="22"/>
          <w:rtl/>
        </w:rPr>
        <w:t xml:space="preserve">לכל הפחות, שעה שביקשה להגדיל חוב במתווה שכבר נדחה על ידי כבוד הרשמת שביט ושעה שביקשה להגדיל חוב עבור תקופה בה אף אחד מהילדים לא היה קטין. </w:t>
      </w:r>
    </w:p>
    <w:p w:rsidR="00C51BEA" w:rsidRPr="00C51BEA" w:rsidRDefault="00C51BEA" w:rsidP="00C51BEA">
      <w:pPr>
        <w:spacing w:line="360" w:lineRule="auto"/>
        <w:jc w:val="both"/>
        <w:rPr>
          <w:rFonts w:ascii="David" w:eastAsia="Calibri" w:hAnsi="David"/>
          <w:noProof w:val="0"/>
          <w:sz w:val="22"/>
          <w:szCs w:val="22"/>
          <w:rtl/>
        </w:rPr>
      </w:pPr>
    </w:p>
    <w:p w:rsidR="00BE4806" w:rsidRDefault="00C51BEA" w:rsidP="00C51BEA">
      <w:pPr>
        <w:pStyle w:val="ad"/>
        <w:numPr>
          <w:ilvl w:val="0"/>
          <w:numId w:val="1"/>
        </w:numPr>
        <w:spacing w:line="360" w:lineRule="auto"/>
        <w:jc w:val="both"/>
        <w:rPr>
          <w:rFonts w:ascii="David" w:eastAsia="Calibri" w:hAnsi="David"/>
          <w:noProof w:val="0"/>
          <w:sz w:val="22"/>
          <w:szCs w:val="22"/>
        </w:rPr>
      </w:pPr>
      <w:r w:rsidRPr="00C51BEA">
        <w:rPr>
          <w:rFonts w:ascii="David" w:eastAsia="Calibri" w:hAnsi="David"/>
          <w:noProof w:val="0"/>
          <w:sz w:val="22"/>
          <w:szCs w:val="22"/>
          <w:rtl/>
        </w:rPr>
        <w:t xml:space="preserve">אכן, המערער לא התנגד בזמן אמת לבקשות להגדלת החוב. מעבר לסוגיית השיהוי בהעלאת הטענה, משלא הוגשה התנגדות בזמן אמת הרי שכבר ניתנה החלטה ולכאורה לא ניתן "להתגבר" עליה באמצעות העלאת טענת פרעתי מאוחרת יותר. לכאורה, המערער היה יכול להתנגד לבקשת ההגדלה "בזמן אמת", ואפילו - תיאורטית - לבקש להאריך את המועד להתנגד לה. ברם, ישנו קושי באי-התנגדות לבקשת ההגדלה, </w:t>
      </w:r>
      <w:r w:rsidR="00BE4806">
        <w:rPr>
          <w:rFonts w:ascii="David" w:eastAsia="Calibri" w:hAnsi="David" w:hint="cs"/>
          <w:noProof w:val="0"/>
          <w:sz w:val="22"/>
          <w:szCs w:val="22"/>
          <w:rtl/>
        </w:rPr>
        <w:t xml:space="preserve">תוך העלאת הטענות שהיו רלבנטיות לה במסגרת בקשה </w:t>
      </w:r>
      <w:r w:rsidR="00F929AC">
        <w:rPr>
          <w:rFonts w:ascii="David" w:eastAsia="Calibri" w:hAnsi="David" w:hint="cs"/>
          <w:noProof w:val="0"/>
          <w:sz w:val="22"/>
          <w:szCs w:val="22"/>
          <w:rtl/>
        </w:rPr>
        <w:t>ב</w:t>
      </w:r>
      <w:r w:rsidR="00BE4806">
        <w:rPr>
          <w:rFonts w:ascii="David" w:eastAsia="Calibri" w:hAnsi="David" w:hint="cs"/>
          <w:noProof w:val="0"/>
          <w:sz w:val="22"/>
          <w:szCs w:val="22"/>
          <w:rtl/>
        </w:rPr>
        <w:t xml:space="preserve">טענת פרעתי. </w:t>
      </w:r>
    </w:p>
    <w:p w:rsidR="00BE4806" w:rsidRPr="00BE4806" w:rsidRDefault="00BE4806" w:rsidP="00BE4806">
      <w:pPr>
        <w:pStyle w:val="ad"/>
        <w:rPr>
          <w:rFonts w:ascii="David" w:eastAsia="Calibri" w:hAnsi="David"/>
          <w:noProof w:val="0"/>
          <w:sz w:val="22"/>
          <w:szCs w:val="22"/>
          <w:rtl/>
        </w:rPr>
      </w:pPr>
    </w:p>
    <w:p w:rsidR="00C51BEA" w:rsidRPr="00C51BEA" w:rsidRDefault="00C51BEA" w:rsidP="00C51BEA">
      <w:pPr>
        <w:pStyle w:val="ad"/>
        <w:numPr>
          <w:ilvl w:val="0"/>
          <w:numId w:val="1"/>
        </w:numPr>
        <w:spacing w:line="360" w:lineRule="auto"/>
        <w:jc w:val="both"/>
        <w:rPr>
          <w:rFonts w:ascii="David" w:eastAsia="Calibri" w:hAnsi="David"/>
          <w:noProof w:val="0"/>
          <w:sz w:val="22"/>
          <w:szCs w:val="22"/>
          <w:rtl/>
        </w:rPr>
      </w:pPr>
      <w:r w:rsidRPr="00C51BEA">
        <w:rPr>
          <w:rFonts w:ascii="David" w:eastAsia="Calibri" w:hAnsi="David"/>
          <w:noProof w:val="0"/>
          <w:sz w:val="22"/>
          <w:szCs w:val="22"/>
          <w:rtl/>
        </w:rPr>
        <w:t>המערער הסביר, כי באותה העת לא היה מיוצג, קיבל את הבקשות להגדלת חוב לידיו באופן חלקי, והניח כי מדובר בהגדלות שמקורן בהפרשי ריביות שאין לו עילה להתנגד להן (ראו עמוד 1 שורות 16-</w:t>
      </w:r>
      <w:r w:rsidRPr="00C51BEA">
        <w:rPr>
          <w:rFonts w:ascii="David" w:eastAsia="Calibri" w:hAnsi="David"/>
          <w:noProof w:val="0"/>
          <w:sz w:val="22"/>
          <w:szCs w:val="22"/>
          <w:rtl/>
        </w:rPr>
        <w:lastRenderedPageBreak/>
        <w:t xml:space="preserve">11 לפרוטוקול וכן דברי ב"כ המערער </w:t>
      </w:r>
      <w:r w:rsidR="003E2406">
        <w:rPr>
          <w:rFonts w:ascii="David" w:eastAsia="Calibri" w:hAnsi="David"/>
          <w:noProof w:val="0"/>
          <w:sz w:val="22"/>
          <w:szCs w:val="22"/>
          <w:rtl/>
        </w:rPr>
        <w:t>בעמוד 3 שורות 26-21 לפרוטוקול</w:t>
      </w:r>
      <w:r w:rsidR="003E2406">
        <w:rPr>
          <w:rFonts w:ascii="David" w:eastAsia="Calibri" w:hAnsi="David" w:hint="cs"/>
          <w:noProof w:val="0"/>
          <w:sz w:val="22"/>
          <w:szCs w:val="22"/>
          <w:rtl/>
        </w:rPr>
        <w:t xml:space="preserve"> אשר לכאורה מסתברים לגופם בשים לב לחומר שבתיק</w:t>
      </w:r>
      <w:r w:rsidR="00E61D70">
        <w:rPr>
          <w:rFonts w:ascii="David" w:eastAsia="Calibri" w:hAnsi="David" w:hint="cs"/>
          <w:noProof w:val="0"/>
          <w:sz w:val="22"/>
          <w:szCs w:val="22"/>
          <w:rtl/>
        </w:rPr>
        <w:t>).</w:t>
      </w:r>
    </w:p>
    <w:p w:rsidR="00C51BEA" w:rsidRPr="00C51BEA" w:rsidRDefault="00C51BEA" w:rsidP="00C51BEA">
      <w:pPr>
        <w:spacing w:line="360" w:lineRule="auto"/>
        <w:jc w:val="both"/>
        <w:rPr>
          <w:rFonts w:ascii="David" w:eastAsia="Calibri" w:hAnsi="David"/>
          <w:noProof w:val="0"/>
          <w:sz w:val="22"/>
          <w:szCs w:val="22"/>
          <w:rtl/>
        </w:rPr>
      </w:pPr>
    </w:p>
    <w:p w:rsidR="00C51BEA" w:rsidRPr="00C51BEA" w:rsidRDefault="00C51BEA" w:rsidP="00C51BEA">
      <w:pPr>
        <w:pStyle w:val="ad"/>
        <w:numPr>
          <w:ilvl w:val="0"/>
          <w:numId w:val="1"/>
        </w:numPr>
        <w:spacing w:line="360" w:lineRule="auto"/>
        <w:jc w:val="both"/>
        <w:rPr>
          <w:rFonts w:ascii="David" w:eastAsia="Calibri" w:hAnsi="David"/>
          <w:noProof w:val="0"/>
          <w:sz w:val="22"/>
          <w:szCs w:val="22"/>
          <w:rtl/>
        </w:rPr>
      </w:pPr>
      <w:r w:rsidRPr="00C51BEA">
        <w:rPr>
          <w:rFonts w:ascii="David" w:eastAsia="Calibri" w:hAnsi="David"/>
          <w:noProof w:val="0"/>
          <w:sz w:val="22"/>
          <w:szCs w:val="22"/>
          <w:rtl/>
        </w:rPr>
        <w:t>אודה, כי יתכן שאלמלא כבר ניתנה החלטת כבוד הרשמת שביט בשנת 2010 והמשיבה פעלה בניגוד לה, יתכן שניתן היה להגיע לתוצאה שונה (אף שפרשנות המערער נכונה לגופה</w:t>
      </w:r>
      <w:r w:rsidR="00E61D70">
        <w:rPr>
          <w:rFonts w:ascii="David" w:eastAsia="Calibri" w:hAnsi="David" w:hint="cs"/>
          <w:noProof w:val="0"/>
          <w:sz w:val="22"/>
          <w:szCs w:val="22"/>
          <w:rtl/>
        </w:rPr>
        <w:t xml:space="preserve"> ואף שקיימים שיקולים נוספים המטים את הכף לטובת קבלת הערעור בהקשר זה</w:t>
      </w:r>
      <w:r w:rsidRPr="00C51BEA">
        <w:rPr>
          <w:rFonts w:ascii="David" w:eastAsia="Calibri" w:hAnsi="David"/>
          <w:noProof w:val="0"/>
          <w:sz w:val="22"/>
          <w:szCs w:val="22"/>
          <w:rtl/>
        </w:rPr>
        <w:t>). ואולם בשים לב למכלול הנסיבות, לכך שבקשת ההגדלה הראשונה הוגשה בניגוד להחלטה משנת 2010 וההגדלה השנייה הוגשה ללא עילה (ואף היא התקבלה בהעדר התנגדות והרי אין עילה לסבור שהמערער הסכים לשלם סכום מזונות כלשהו ללא כל עילה), סבורני כי מדובר באחד מאותם המקרים בהם יש לעשות שימוש סמכותו הרחבה של בית המשפט לענייני משפחה.</w:t>
      </w:r>
    </w:p>
    <w:p w:rsidR="00C51BEA" w:rsidRPr="00C51BEA" w:rsidRDefault="00C51BEA" w:rsidP="00C51BEA">
      <w:pPr>
        <w:spacing w:line="360" w:lineRule="auto"/>
        <w:jc w:val="both"/>
        <w:rPr>
          <w:rFonts w:ascii="David" w:eastAsia="Calibri" w:hAnsi="David"/>
          <w:noProof w:val="0"/>
          <w:sz w:val="22"/>
          <w:szCs w:val="22"/>
          <w:rtl/>
        </w:rPr>
      </w:pPr>
    </w:p>
    <w:p w:rsidR="00217D8B" w:rsidRDefault="00C51BEA" w:rsidP="00E61D70">
      <w:pPr>
        <w:pStyle w:val="ad"/>
        <w:numPr>
          <w:ilvl w:val="0"/>
          <w:numId w:val="1"/>
        </w:numPr>
        <w:spacing w:after="160" w:line="360" w:lineRule="auto"/>
        <w:jc w:val="both"/>
        <w:rPr>
          <w:rFonts w:ascii="David" w:eastAsia="Calibri" w:hAnsi="David"/>
          <w:noProof w:val="0"/>
          <w:sz w:val="22"/>
          <w:szCs w:val="22"/>
        </w:rPr>
      </w:pPr>
      <w:r w:rsidRPr="00015145">
        <w:rPr>
          <w:rFonts w:ascii="David" w:eastAsia="Calibri" w:hAnsi="David"/>
          <w:noProof w:val="0"/>
          <w:sz w:val="22"/>
          <w:szCs w:val="22"/>
          <w:rtl/>
        </w:rPr>
        <w:t>סעיף 8 לחוק בית המשפט לענייני משפחה מורה</w:t>
      </w:r>
      <w:r w:rsidR="00E61D70">
        <w:rPr>
          <w:rFonts w:ascii="David" w:eastAsia="Calibri" w:hAnsi="David" w:hint="cs"/>
          <w:noProof w:val="0"/>
          <w:sz w:val="22"/>
          <w:szCs w:val="22"/>
          <w:rtl/>
        </w:rPr>
        <w:t>,</w:t>
      </w:r>
      <w:r w:rsidRPr="00015145">
        <w:rPr>
          <w:rFonts w:ascii="David" w:eastAsia="Calibri" w:hAnsi="David"/>
          <w:noProof w:val="0"/>
          <w:sz w:val="22"/>
          <w:szCs w:val="22"/>
          <w:rtl/>
        </w:rPr>
        <w:t xml:space="preserve"> כי "בכל ענין של דיני ראיות וסדרי דין, שאין עליו הוראה אחרת, לפי חוק זה, ינהג בית המשפט בדרך הנראית לו הטובה ביותר לעשיית משפט צדק". סעיף זה שימש את בתי המשפט לענייני משפחה גם בשבתם כערכאת ערעור על החלטות רשמי הוצאה לפועל, (ראו לדוגמה ע"ר (משפחה ירושלים) 27527-09-19‏ </w:t>
      </w:r>
      <w:r w:rsidRPr="00015145">
        <w:rPr>
          <w:rFonts w:ascii="David" w:eastAsia="Calibri" w:hAnsi="David"/>
          <w:b/>
          <w:bCs/>
          <w:noProof w:val="0"/>
          <w:sz w:val="22"/>
          <w:szCs w:val="22"/>
          <w:rtl/>
        </w:rPr>
        <w:t>עיזבון מ' (המנוח) נ' מ</w:t>
      </w:r>
      <w:r w:rsidRPr="00015145">
        <w:rPr>
          <w:rFonts w:ascii="David" w:eastAsia="Calibri" w:hAnsi="David"/>
          <w:noProof w:val="0"/>
          <w:sz w:val="22"/>
          <w:szCs w:val="22"/>
          <w:rtl/>
        </w:rPr>
        <w:t xml:space="preserve"> (9.3.20); ע"ר (משפחה חיפה) 16948-02-10‏ </w:t>
      </w:r>
      <w:r w:rsidRPr="00015145">
        <w:rPr>
          <w:rFonts w:ascii="David" w:eastAsia="Calibri" w:hAnsi="David"/>
          <w:b/>
          <w:bCs/>
          <w:noProof w:val="0"/>
          <w:sz w:val="22"/>
          <w:szCs w:val="22"/>
          <w:rtl/>
        </w:rPr>
        <w:t>הערבים נ' הגרושה</w:t>
      </w:r>
      <w:r w:rsidRPr="00015145">
        <w:rPr>
          <w:rFonts w:ascii="David" w:eastAsia="Calibri" w:hAnsi="David"/>
          <w:noProof w:val="0"/>
          <w:sz w:val="22"/>
          <w:szCs w:val="22"/>
          <w:rtl/>
        </w:rPr>
        <w:t xml:space="preserve"> (22.5.12)) לרבות בסיטואציות דומות לזו שלפנינו (ראו לדוגמה השימוש שנעשה בתיק ע"ר (משפחה ירושלים) 874-03-15‏ ‏</w:t>
      </w:r>
      <w:r w:rsidRPr="00015145">
        <w:rPr>
          <w:rFonts w:ascii="David" w:eastAsia="Calibri" w:hAnsi="David"/>
          <w:b/>
          <w:bCs/>
          <w:noProof w:val="0"/>
          <w:sz w:val="22"/>
          <w:szCs w:val="22"/>
          <w:rtl/>
        </w:rPr>
        <w:t>א.ש.ל נ' ל.א</w:t>
      </w:r>
      <w:r w:rsidRPr="00015145">
        <w:rPr>
          <w:rFonts w:ascii="David" w:eastAsia="Calibri" w:hAnsi="David"/>
          <w:noProof w:val="0"/>
          <w:sz w:val="22"/>
          <w:szCs w:val="22"/>
          <w:rtl/>
        </w:rPr>
        <w:t xml:space="preserve"> (27.7.15) שם התקבל הערעור אף שהמערער לא השיג בזמן אמת ולכאורה השלים עם החלטת רשם שניתנה שנים קודם לכן). </w:t>
      </w:r>
    </w:p>
    <w:p w:rsidR="00217D8B" w:rsidRPr="00217D8B" w:rsidRDefault="00217D8B" w:rsidP="00217D8B">
      <w:pPr>
        <w:pStyle w:val="ad"/>
        <w:rPr>
          <w:rFonts w:ascii="David" w:eastAsia="Calibri" w:hAnsi="David"/>
          <w:noProof w:val="0"/>
          <w:sz w:val="22"/>
          <w:szCs w:val="22"/>
          <w:rtl/>
        </w:rPr>
      </w:pPr>
    </w:p>
    <w:p w:rsidR="00217D8B" w:rsidRDefault="00C51BEA" w:rsidP="00964ACF">
      <w:pPr>
        <w:pStyle w:val="ad"/>
        <w:numPr>
          <w:ilvl w:val="0"/>
          <w:numId w:val="1"/>
        </w:numPr>
        <w:spacing w:after="160" w:line="360" w:lineRule="auto"/>
        <w:jc w:val="both"/>
        <w:rPr>
          <w:rFonts w:ascii="David" w:eastAsia="Calibri" w:hAnsi="David"/>
          <w:noProof w:val="0"/>
          <w:sz w:val="22"/>
          <w:szCs w:val="22"/>
        </w:rPr>
      </w:pPr>
      <w:r w:rsidRPr="00217D8B">
        <w:rPr>
          <w:rFonts w:ascii="David" w:eastAsia="Calibri" w:hAnsi="David"/>
          <w:noProof w:val="0"/>
          <w:sz w:val="22"/>
          <w:szCs w:val="22"/>
          <w:rtl/>
        </w:rPr>
        <w:t>כבוד הרשמת דנה בטענות הצדדים לגבי ההגדלה הראשונה לגופן, שני הצדדים טענו בסוגיה בהרחבה, ולא ניתן לומר כי לא ניתנה למי מהם זכות טיעון כראוי. האפשרות העקרונית "להתגבר" על ההחלטה בדבר הגדלת החוב הראשונה קיימת במתווים דיוניים</w:t>
      </w:r>
      <w:r w:rsidR="007F153A" w:rsidRPr="00217D8B">
        <w:rPr>
          <w:rFonts w:ascii="David" w:eastAsia="Calibri" w:hAnsi="David" w:hint="cs"/>
          <w:noProof w:val="0"/>
          <w:sz w:val="22"/>
          <w:szCs w:val="22"/>
          <w:rtl/>
        </w:rPr>
        <w:t xml:space="preserve"> שונים</w:t>
      </w:r>
      <w:r w:rsidR="00217D8B" w:rsidRPr="00217D8B">
        <w:rPr>
          <w:rFonts w:ascii="David" w:eastAsia="Calibri" w:hAnsi="David" w:hint="cs"/>
          <w:noProof w:val="0"/>
          <w:sz w:val="22"/>
          <w:szCs w:val="22"/>
          <w:rtl/>
        </w:rPr>
        <w:t xml:space="preserve"> בגדרי ההליכים בלשכת ההוצאה לפועל</w:t>
      </w:r>
      <w:r w:rsidR="007F153A" w:rsidRPr="00217D8B">
        <w:rPr>
          <w:rFonts w:ascii="David" w:eastAsia="Calibri" w:hAnsi="David" w:hint="cs"/>
          <w:noProof w:val="0"/>
          <w:sz w:val="22"/>
          <w:szCs w:val="22"/>
          <w:rtl/>
        </w:rPr>
        <w:t xml:space="preserve"> </w:t>
      </w:r>
      <w:r w:rsidR="00C60564" w:rsidRPr="00217D8B">
        <w:rPr>
          <w:rFonts w:ascii="David" w:eastAsia="Calibri" w:hAnsi="David" w:hint="cs"/>
          <w:noProof w:val="0"/>
          <w:sz w:val="22"/>
          <w:szCs w:val="22"/>
          <w:rtl/>
        </w:rPr>
        <w:t>-</w:t>
      </w:r>
      <w:r w:rsidR="007F153A" w:rsidRPr="00217D8B">
        <w:rPr>
          <w:rFonts w:ascii="David" w:eastAsia="Calibri" w:hAnsi="David" w:hint="cs"/>
          <w:noProof w:val="0"/>
          <w:sz w:val="22"/>
          <w:szCs w:val="22"/>
          <w:rtl/>
        </w:rPr>
        <w:t xml:space="preserve"> בין היתר קיימת אפשרות לעתור </w:t>
      </w:r>
      <w:r w:rsidR="00C60564" w:rsidRPr="00217D8B">
        <w:rPr>
          <w:rFonts w:ascii="David" w:eastAsia="Calibri" w:hAnsi="David" w:hint="cs"/>
          <w:noProof w:val="0"/>
          <w:sz w:val="22"/>
          <w:szCs w:val="22"/>
          <w:rtl/>
        </w:rPr>
        <w:t>בבקשה לביטול החלטה שניתנה בהעדר תגובה (השוו גם תקנה 27 ל</w:t>
      </w:r>
      <w:r w:rsidR="00C60564" w:rsidRPr="00217D8B">
        <w:rPr>
          <w:rFonts w:ascii="David" w:eastAsia="Calibri" w:hAnsi="David"/>
          <w:noProof w:val="0"/>
          <w:sz w:val="22"/>
          <w:szCs w:val="22"/>
          <w:rtl/>
        </w:rPr>
        <w:t>תקנות ההוצאה לפועל, תש"ם-1979</w:t>
      </w:r>
      <w:r w:rsidR="00C60564" w:rsidRPr="00217D8B">
        <w:rPr>
          <w:rFonts w:ascii="David" w:eastAsia="Calibri" w:hAnsi="David" w:hint="cs"/>
          <w:noProof w:val="0"/>
          <w:sz w:val="22"/>
          <w:szCs w:val="22"/>
          <w:rtl/>
        </w:rPr>
        <w:t xml:space="preserve">), ולהארכת המועד להגשת בקשה כאמור או להגשת ערעור על ההחלטה בבקשה להגדלת החוב, קיימים גם מנגנונים נוספים דוגמת תקנה 126א לתקנות ההוצאה לפועל </w:t>
      </w:r>
      <w:r w:rsidR="00217D8B" w:rsidRPr="00217D8B">
        <w:rPr>
          <w:rFonts w:ascii="David" w:eastAsia="Calibri" w:hAnsi="David" w:hint="cs"/>
          <w:noProof w:val="0"/>
          <w:sz w:val="22"/>
          <w:szCs w:val="22"/>
          <w:rtl/>
        </w:rPr>
        <w:t>אשר נועדה, בין היתר, למנוע מצב בו תדחה בקשה מוצדקת שהוגשה במתווה משפטי אחד "</w:t>
      </w:r>
      <w:r w:rsidR="00217D8B" w:rsidRPr="00217D8B">
        <w:rPr>
          <w:rFonts w:ascii="David" w:eastAsia="Calibri" w:hAnsi="David"/>
          <w:noProof w:val="0"/>
          <w:sz w:val="22"/>
          <w:szCs w:val="22"/>
          <w:rtl/>
        </w:rPr>
        <w:t>בעוד תוכנה של הבקשה, מצביע על התאמתה להליך אחר</w:t>
      </w:r>
      <w:r w:rsidR="00217D8B" w:rsidRPr="00217D8B">
        <w:rPr>
          <w:rFonts w:ascii="David" w:eastAsia="Calibri" w:hAnsi="David" w:hint="cs"/>
          <w:noProof w:val="0"/>
          <w:sz w:val="22"/>
          <w:szCs w:val="22"/>
          <w:rtl/>
        </w:rPr>
        <w:t>" (</w:t>
      </w:r>
      <w:r w:rsidR="00217D8B" w:rsidRPr="00217D8B">
        <w:rPr>
          <w:rFonts w:ascii="David" w:eastAsia="Calibri" w:hAnsi="David"/>
          <w:noProof w:val="0"/>
          <w:sz w:val="22"/>
          <w:szCs w:val="22"/>
          <w:rtl/>
        </w:rPr>
        <w:t>ע</w:t>
      </w:r>
      <w:r w:rsidR="00217D8B" w:rsidRPr="00217D8B">
        <w:rPr>
          <w:rFonts w:ascii="David" w:eastAsia="Calibri" w:hAnsi="David" w:hint="cs"/>
          <w:noProof w:val="0"/>
          <w:sz w:val="22"/>
          <w:szCs w:val="22"/>
          <w:rtl/>
        </w:rPr>
        <w:t>"</w:t>
      </w:r>
      <w:r w:rsidR="00217D8B" w:rsidRPr="00217D8B">
        <w:rPr>
          <w:rFonts w:ascii="David" w:eastAsia="Calibri" w:hAnsi="David"/>
          <w:noProof w:val="0"/>
          <w:sz w:val="22"/>
          <w:szCs w:val="22"/>
          <w:rtl/>
        </w:rPr>
        <w:t>א (</w:t>
      </w:r>
      <w:r w:rsidR="00217D8B" w:rsidRPr="00217D8B">
        <w:rPr>
          <w:rFonts w:ascii="David" w:eastAsia="Calibri" w:hAnsi="David" w:hint="cs"/>
          <w:noProof w:val="0"/>
          <w:sz w:val="22"/>
          <w:szCs w:val="22"/>
          <w:rtl/>
        </w:rPr>
        <w:t>מחוזי תל אביב</w:t>
      </w:r>
      <w:r w:rsidR="00217D8B" w:rsidRPr="00217D8B">
        <w:rPr>
          <w:rFonts w:ascii="David" w:eastAsia="Calibri" w:hAnsi="David"/>
          <w:noProof w:val="0"/>
          <w:sz w:val="22"/>
          <w:szCs w:val="22"/>
          <w:rtl/>
        </w:rPr>
        <w:t xml:space="preserve">) 2836/03‏ </w:t>
      </w:r>
      <w:r w:rsidR="00217D8B" w:rsidRPr="00217D8B">
        <w:rPr>
          <w:rFonts w:ascii="David" w:eastAsia="Calibri" w:hAnsi="David"/>
          <w:b/>
          <w:bCs/>
          <w:noProof w:val="0"/>
          <w:sz w:val="22"/>
          <w:szCs w:val="22"/>
          <w:rtl/>
        </w:rPr>
        <w:t>עיריית תל אביב נ' מור</w:t>
      </w:r>
      <w:r w:rsidR="00217D8B" w:rsidRPr="00217D8B">
        <w:rPr>
          <w:rFonts w:ascii="David" w:eastAsia="Calibri" w:hAnsi="David" w:hint="cs"/>
          <w:noProof w:val="0"/>
          <w:sz w:val="22"/>
          <w:szCs w:val="22"/>
          <w:rtl/>
        </w:rPr>
        <w:t xml:space="preserve"> (24.1.06)) - </w:t>
      </w:r>
      <w:r w:rsidRPr="00217D8B">
        <w:rPr>
          <w:rFonts w:ascii="David" w:eastAsia="Calibri" w:hAnsi="David"/>
          <w:noProof w:val="0"/>
          <w:sz w:val="22"/>
          <w:szCs w:val="22"/>
          <w:rtl/>
        </w:rPr>
        <w:t xml:space="preserve"> והגמישות הדיונית המסורה לבית המשפט לענייני משפחה - גם בשבתו כערכאת ערעור - מצדיק</w:t>
      </w:r>
      <w:r w:rsidR="00217D8B">
        <w:rPr>
          <w:rFonts w:ascii="David" w:eastAsia="Calibri" w:hAnsi="David"/>
          <w:noProof w:val="0"/>
          <w:sz w:val="22"/>
          <w:szCs w:val="22"/>
          <w:rtl/>
        </w:rPr>
        <w:t>ה בנסיבות הפעלת סמכות חריגה ז</w:t>
      </w:r>
      <w:r w:rsidR="00217D8B">
        <w:rPr>
          <w:rFonts w:ascii="David" w:eastAsia="Calibri" w:hAnsi="David" w:hint="cs"/>
          <w:noProof w:val="0"/>
          <w:sz w:val="22"/>
          <w:szCs w:val="22"/>
          <w:rtl/>
        </w:rPr>
        <w:t xml:space="preserve">ו. </w:t>
      </w:r>
    </w:p>
    <w:p w:rsidR="00217D8B" w:rsidRPr="00217D8B" w:rsidRDefault="00217D8B" w:rsidP="00217D8B">
      <w:pPr>
        <w:pStyle w:val="ad"/>
        <w:rPr>
          <w:rFonts w:ascii="David" w:eastAsia="Calibri" w:hAnsi="David"/>
          <w:noProof w:val="0"/>
          <w:sz w:val="22"/>
          <w:szCs w:val="22"/>
          <w:rtl/>
        </w:rPr>
      </w:pPr>
    </w:p>
    <w:p w:rsidR="00015145" w:rsidRPr="00217D8B" w:rsidRDefault="00952EEF" w:rsidP="00952EEF">
      <w:pPr>
        <w:pStyle w:val="ad"/>
        <w:numPr>
          <w:ilvl w:val="0"/>
          <w:numId w:val="1"/>
        </w:numPr>
        <w:spacing w:after="160" w:line="360" w:lineRule="auto"/>
        <w:jc w:val="both"/>
        <w:rPr>
          <w:rFonts w:ascii="David" w:eastAsia="Calibri" w:hAnsi="David"/>
          <w:noProof w:val="0"/>
          <w:sz w:val="22"/>
          <w:szCs w:val="22"/>
        </w:rPr>
      </w:pPr>
      <w:r>
        <w:rPr>
          <w:rFonts w:ascii="David" w:eastAsia="Calibri" w:hAnsi="David" w:hint="cs"/>
          <w:noProof w:val="0"/>
          <w:sz w:val="22"/>
          <w:szCs w:val="22"/>
          <w:rtl/>
        </w:rPr>
        <w:t>וכפי שקבע בית המשפט לענייני משפחה באחד המקרים</w:t>
      </w:r>
      <w:r w:rsidR="00C51BEA" w:rsidRPr="00217D8B">
        <w:rPr>
          <w:rFonts w:ascii="David" w:eastAsia="Calibri" w:hAnsi="David"/>
          <w:noProof w:val="0"/>
          <w:sz w:val="22"/>
          <w:szCs w:val="22"/>
          <w:rtl/>
        </w:rPr>
        <w:t xml:space="preserve">: "אף אם תמצי לומר, כי קביעות כב' הרשמת לגוף עניין היו למעלה מן הצורך, שכן דחתה את טענות המערער... מחמת מעשה בית דין" </w:t>
      </w:r>
      <w:r w:rsidR="00015145" w:rsidRPr="00217D8B">
        <w:rPr>
          <w:rFonts w:ascii="David" w:eastAsia="Calibri" w:hAnsi="David" w:hint="cs"/>
          <w:noProof w:val="0"/>
          <w:sz w:val="22"/>
          <w:szCs w:val="22"/>
          <w:rtl/>
        </w:rPr>
        <w:t>-</w:t>
      </w:r>
      <w:r w:rsidR="00C51BEA" w:rsidRPr="00217D8B">
        <w:rPr>
          <w:rFonts w:ascii="David" w:eastAsia="Calibri" w:hAnsi="David"/>
          <w:noProof w:val="0"/>
          <w:sz w:val="22"/>
          <w:szCs w:val="22"/>
          <w:rtl/>
        </w:rPr>
        <w:t xml:space="preserve"> כפי שבענייננו ניתן לומר שכבוד הרשמת התייחסה לסוגיית פרשנות החלטת בית הדין מעבר לצורך שכן לשיטתה ההחלטה בדבר הגדלת החוב כבר נחלטה </w:t>
      </w:r>
      <w:r w:rsidR="00015145" w:rsidRPr="00217D8B">
        <w:rPr>
          <w:rFonts w:ascii="David" w:eastAsia="Calibri" w:hAnsi="David" w:hint="cs"/>
          <w:noProof w:val="0"/>
          <w:sz w:val="22"/>
          <w:szCs w:val="22"/>
          <w:rtl/>
        </w:rPr>
        <w:t>-</w:t>
      </w:r>
      <w:r w:rsidR="00C51BEA" w:rsidRPr="00217D8B">
        <w:rPr>
          <w:rFonts w:ascii="David" w:eastAsia="Calibri" w:hAnsi="David"/>
          <w:noProof w:val="0"/>
          <w:sz w:val="22"/>
          <w:szCs w:val="22"/>
          <w:rtl/>
        </w:rPr>
        <w:t xml:space="preserve"> "סבורני שנוכח מהות העניין וחשיבותו, יש מקום שבית משפט זה יסטה מסדרי הדין, לשם עשיית צדק, ויאפשר את הדיון בפלוגתא שבמחלוקת לגופה. זאת מכח סמכות בית משפט זה על פי סעיף 8(א) לחוק בית המשפט לענייני משפחה, תשנ"ה </w:t>
      </w:r>
      <w:r w:rsidR="00015145" w:rsidRPr="00217D8B">
        <w:rPr>
          <w:rFonts w:ascii="David" w:eastAsia="Calibri" w:hAnsi="David" w:hint="cs"/>
          <w:noProof w:val="0"/>
          <w:sz w:val="22"/>
          <w:szCs w:val="22"/>
          <w:rtl/>
        </w:rPr>
        <w:t>-</w:t>
      </w:r>
      <w:r w:rsidR="00C51BEA" w:rsidRPr="00217D8B">
        <w:rPr>
          <w:rFonts w:ascii="David" w:eastAsia="Calibri" w:hAnsi="David"/>
          <w:noProof w:val="0"/>
          <w:sz w:val="22"/>
          <w:szCs w:val="22"/>
          <w:rtl/>
        </w:rPr>
        <w:t xml:space="preserve"> 1995 (ע"ר (משפחה ירושלים) 874-03-15‏ ‏</w:t>
      </w:r>
      <w:r w:rsidR="00C51BEA" w:rsidRPr="00217D8B">
        <w:rPr>
          <w:rFonts w:ascii="David" w:eastAsia="Calibri" w:hAnsi="David"/>
          <w:b/>
          <w:bCs/>
          <w:noProof w:val="0"/>
          <w:sz w:val="22"/>
          <w:szCs w:val="22"/>
          <w:rtl/>
        </w:rPr>
        <w:t>א.ש.ל נ' ל.א</w:t>
      </w:r>
      <w:r w:rsidR="00C51BEA" w:rsidRPr="00217D8B">
        <w:rPr>
          <w:rFonts w:ascii="David" w:eastAsia="Calibri" w:hAnsi="David"/>
          <w:noProof w:val="0"/>
          <w:sz w:val="22"/>
          <w:szCs w:val="22"/>
          <w:rtl/>
        </w:rPr>
        <w:t xml:space="preserve"> (27.7.15)).</w:t>
      </w:r>
    </w:p>
    <w:p w:rsidR="00015145" w:rsidRPr="00015145" w:rsidRDefault="00015145" w:rsidP="00015145">
      <w:pPr>
        <w:pStyle w:val="ad"/>
        <w:rPr>
          <w:rFonts w:ascii="David" w:eastAsia="Calibri" w:hAnsi="David"/>
          <w:noProof w:val="0"/>
          <w:sz w:val="22"/>
          <w:szCs w:val="22"/>
          <w:rtl/>
        </w:rPr>
      </w:pPr>
    </w:p>
    <w:p w:rsidR="006B5655" w:rsidRPr="00952EEF" w:rsidRDefault="00C51BEA" w:rsidP="00952EEF">
      <w:pPr>
        <w:pStyle w:val="ad"/>
        <w:numPr>
          <w:ilvl w:val="0"/>
          <w:numId w:val="1"/>
        </w:numPr>
        <w:spacing w:after="160" w:line="360" w:lineRule="auto"/>
        <w:jc w:val="both"/>
        <w:rPr>
          <w:rFonts w:ascii="David" w:eastAsia="Calibri" w:hAnsi="David"/>
          <w:noProof w:val="0"/>
          <w:sz w:val="22"/>
          <w:szCs w:val="22"/>
        </w:rPr>
      </w:pPr>
      <w:r w:rsidRPr="00952EEF">
        <w:rPr>
          <w:rFonts w:ascii="David" w:eastAsia="Calibri" w:hAnsi="David"/>
          <w:noProof w:val="0"/>
          <w:sz w:val="22"/>
          <w:szCs w:val="22"/>
          <w:rtl/>
        </w:rPr>
        <w:lastRenderedPageBreak/>
        <w:t xml:space="preserve">בסוף כל הסופים החלטת כבוד הרשמת מחייבת את המערער לשלם סכומים שהוא אינו חייב לשלם, כאשר הקביעה שהוא אינו חייב לשלם סכומים אלה ניתנה על ידי כבוד הרשמת שביט עוד לפני שהוגשה בקשת ההגדלה הראשונה, ולדידי הקביעה גם </w:t>
      </w:r>
      <w:r w:rsidRPr="00952EEF">
        <w:rPr>
          <w:rFonts w:ascii="David" w:eastAsia="Calibri" w:hAnsi="David"/>
          <w:b/>
          <w:bCs/>
          <w:noProof w:val="0"/>
          <w:sz w:val="22"/>
          <w:szCs w:val="22"/>
          <w:u w:val="single"/>
          <w:rtl/>
        </w:rPr>
        <w:t>נכונה לגופה</w:t>
      </w:r>
      <w:r w:rsidRPr="00952EEF">
        <w:rPr>
          <w:rFonts w:ascii="David" w:eastAsia="Calibri" w:hAnsi="David"/>
          <w:noProof w:val="0"/>
          <w:sz w:val="22"/>
          <w:szCs w:val="22"/>
          <w:rtl/>
        </w:rPr>
        <w:t xml:space="preserve"> ותואמת את הפסיקה שהובאה מעלה</w:t>
      </w:r>
      <w:r w:rsidR="00952EEF">
        <w:rPr>
          <w:rFonts w:ascii="David" w:eastAsia="Calibri" w:hAnsi="David" w:hint="cs"/>
          <w:noProof w:val="0"/>
          <w:sz w:val="22"/>
          <w:szCs w:val="22"/>
          <w:rtl/>
        </w:rPr>
        <w:t>.</w:t>
      </w:r>
      <w:r w:rsidR="00952EEF" w:rsidRPr="00952EEF">
        <w:rPr>
          <w:rFonts w:ascii="David" w:eastAsia="Calibri" w:hAnsi="David" w:hint="cs"/>
          <w:noProof w:val="0"/>
          <w:sz w:val="22"/>
          <w:szCs w:val="22"/>
          <w:rtl/>
        </w:rPr>
        <w:t xml:space="preserve"> כך לגבי ההגדלה </w:t>
      </w:r>
      <w:r w:rsidR="00952EEF" w:rsidRPr="00952EEF">
        <w:rPr>
          <w:rFonts w:ascii="David" w:eastAsia="Calibri" w:hAnsi="David" w:hint="cs"/>
          <w:b/>
          <w:bCs/>
          <w:noProof w:val="0"/>
          <w:sz w:val="22"/>
          <w:szCs w:val="22"/>
          <w:u w:val="single"/>
          <w:rtl/>
        </w:rPr>
        <w:t>הראשונה</w:t>
      </w:r>
      <w:r w:rsidR="00952EEF" w:rsidRPr="00952EEF">
        <w:rPr>
          <w:rFonts w:ascii="David" w:eastAsia="Calibri" w:hAnsi="David" w:hint="cs"/>
          <w:noProof w:val="0"/>
          <w:sz w:val="22"/>
          <w:szCs w:val="22"/>
          <w:rtl/>
        </w:rPr>
        <w:t xml:space="preserve"> ובוודאי כך לגבי ההגדלה </w:t>
      </w:r>
      <w:r w:rsidR="00952EEF" w:rsidRPr="00952EEF">
        <w:rPr>
          <w:rFonts w:ascii="David" w:eastAsia="Calibri" w:hAnsi="David" w:hint="cs"/>
          <w:b/>
          <w:bCs/>
          <w:noProof w:val="0"/>
          <w:sz w:val="22"/>
          <w:szCs w:val="22"/>
          <w:u w:val="single"/>
          <w:rtl/>
        </w:rPr>
        <w:t>השנייה</w:t>
      </w:r>
      <w:r w:rsidR="00952EEF" w:rsidRPr="00952EEF">
        <w:rPr>
          <w:rFonts w:ascii="David" w:eastAsia="Calibri" w:hAnsi="David" w:hint="cs"/>
          <w:noProof w:val="0"/>
          <w:sz w:val="22"/>
          <w:szCs w:val="22"/>
          <w:rtl/>
        </w:rPr>
        <w:t xml:space="preserve"> אשר גם לגביה נדרש המערער לערער ורק בשלב מאוחר ניתנה הסכמה לקבלת הערעור בעניין זה</w:t>
      </w:r>
      <w:r w:rsidRPr="00952EEF">
        <w:rPr>
          <w:rFonts w:ascii="David" w:eastAsia="Calibri" w:hAnsi="David"/>
          <w:noProof w:val="0"/>
          <w:sz w:val="22"/>
          <w:szCs w:val="22"/>
          <w:rtl/>
        </w:rPr>
        <w:t xml:space="preserve">. סבורני אפוא, כי יש לקבל את הערעור בהקשר זה. ויודגש, מדובר בתיקון של אופן הגדלת החוב, ולא בהשבת מזונות שכבר שולמו בפועל על כל המשתמע. הגדלת החוב הראשונה מבוטלת אפוא, החוב לתקופה זו יוגדל לפי תחשיב מתוקן שיתבסס על כך שהמשיבה זכאית למזונות בסך 400 ש"ח לחודש </w:t>
      </w:r>
      <w:r w:rsidR="00893B00" w:rsidRPr="00952EEF">
        <w:rPr>
          <w:rFonts w:ascii="David" w:eastAsia="Calibri" w:hAnsi="David" w:hint="cs"/>
          <w:noProof w:val="0"/>
          <w:sz w:val="22"/>
          <w:szCs w:val="22"/>
          <w:rtl/>
        </w:rPr>
        <w:t xml:space="preserve">(קרן) </w:t>
      </w:r>
      <w:r w:rsidRPr="00952EEF">
        <w:rPr>
          <w:rFonts w:ascii="David" w:eastAsia="Calibri" w:hAnsi="David"/>
          <w:noProof w:val="0"/>
          <w:sz w:val="22"/>
          <w:szCs w:val="22"/>
          <w:rtl/>
        </w:rPr>
        <w:t xml:space="preserve">עבור כל קטין מתחת לגיל 18. </w:t>
      </w:r>
    </w:p>
    <w:p w:rsidR="006B5655" w:rsidRPr="006B5655" w:rsidRDefault="006B5655" w:rsidP="006B5655">
      <w:pPr>
        <w:pStyle w:val="ad"/>
        <w:rPr>
          <w:rFonts w:ascii="David" w:eastAsia="Calibri" w:hAnsi="David"/>
          <w:noProof w:val="0"/>
          <w:sz w:val="22"/>
          <w:szCs w:val="22"/>
          <w:rtl/>
        </w:rPr>
      </w:pPr>
    </w:p>
    <w:p w:rsidR="00E55786" w:rsidRDefault="00C51BEA" w:rsidP="00360507">
      <w:pPr>
        <w:pStyle w:val="ad"/>
        <w:numPr>
          <w:ilvl w:val="0"/>
          <w:numId w:val="1"/>
        </w:numPr>
        <w:spacing w:after="160" w:line="360" w:lineRule="auto"/>
        <w:jc w:val="both"/>
        <w:rPr>
          <w:rFonts w:ascii="David" w:eastAsia="Calibri" w:hAnsi="David"/>
          <w:noProof w:val="0"/>
          <w:sz w:val="22"/>
          <w:szCs w:val="22"/>
        </w:rPr>
      </w:pPr>
      <w:r w:rsidRPr="006B5655">
        <w:rPr>
          <w:rFonts w:ascii="David" w:eastAsia="Calibri" w:hAnsi="David"/>
          <w:noProof w:val="0"/>
          <w:sz w:val="22"/>
          <w:szCs w:val="22"/>
          <w:rtl/>
        </w:rPr>
        <w:t xml:space="preserve">ולבסוף, הסוגיה השלישית שהועלתה בערעור נוגעת להחלטת כבוד הרשמת לדחות טענת קיזוז שהעלה המערער, המתבססת על הטענה לפיה התובעת השכירה את דירתם המשותפת באופן שהוא זכאי למחצית דמי השכירות שגבתה (ראו סעיף 35 לחוק המקרקעין, תשכ"ט - 1969). מבלי להביע כל עמדה לגבי טענת המערער לגופה לכאן או לכאן, צדקה כבוד הרשמת בקבעה </w:t>
      </w:r>
      <w:r w:rsidR="00E55786">
        <w:rPr>
          <w:rFonts w:ascii="David" w:eastAsia="Calibri" w:hAnsi="David"/>
          <w:noProof w:val="0"/>
          <w:sz w:val="22"/>
          <w:szCs w:val="22"/>
          <w:rtl/>
        </w:rPr>
        <w:t>כי לא ניתן לאפשר קיז</w:t>
      </w:r>
      <w:r w:rsidR="00360507">
        <w:rPr>
          <w:rFonts w:ascii="David" w:eastAsia="Calibri" w:hAnsi="David" w:hint="cs"/>
          <w:noProof w:val="0"/>
          <w:sz w:val="22"/>
          <w:szCs w:val="22"/>
          <w:rtl/>
        </w:rPr>
        <w:t>וז</w:t>
      </w:r>
      <w:r w:rsidR="00E55786">
        <w:rPr>
          <w:rFonts w:ascii="David" w:eastAsia="Calibri" w:hAnsi="David"/>
          <w:noProof w:val="0"/>
          <w:sz w:val="22"/>
          <w:szCs w:val="22"/>
          <w:rtl/>
        </w:rPr>
        <w:t xml:space="preserve"> זה</w:t>
      </w:r>
      <w:r w:rsidR="00E55786">
        <w:rPr>
          <w:rFonts w:ascii="David" w:eastAsia="Calibri" w:hAnsi="David" w:hint="cs"/>
          <w:noProof w:val="0"/>
          <w:sz w:val="22"/>
          <w:szCs w:val="22"/>
          <w:rtl/>
        </w:rPr>
        <w:t xml:space="preserve">: הן משום שמדובר בטענת קיזוז נטענת, והן משום שמדובר בקיזוז מחוב מזונות ללא טענה להסכמה מפורשת מצד המשיבה. </w:t>
      </w:r>
    </w:p>
    <w:p w:rsidR="00E55786" w:rsidRPr="00E55786" w:rsidRDefault="00E55786" w:rsidP="00E55786">
      <w:pPr>
        <w:pStyle w:val="ad"/>
        <w:rPr>
          <w:rFonts w:ascii="David" w:eastAsia="Calibri" w:hAnsi="David"/>
          <w:noProof w:val="0"/>
          <w:sz w:val="22"/>
          <w:szCs w:val="22"/>
          <w:rtl/>
        </w:rPr>
      </w:pPr>
    </w:p>
    <w:p w:rsidR="00C51BEA" w:rsidRPr="006B5655" w:rsidRDefault="00E55786" w:rsidP="00E55786">
      <w:pPr>
        <w:pStyle w:val="ad"/>
        <w:numPr>
          <w:ilvl w:val="0"/>
          <w:numId w:val="1"/>
        </w:numPr>
        <w:spacing w:after="160" w:line="360" w:lineRule="auto"/>
        <w:jc w:val="both"/>
        <w:rPr>
          <w:rFonts w:ascii="David" w:eastAsia="Calibri" w:hAnsi="David"/>
          <w:noProof w:val="0"/>
          <w:sz w:val="22"/>
          <w:szCs w:val="22"/>
          <w:rtl/>
        </w:rPr>
      </w:pPr>
      <w:r>
        <w:rPr>
          <w:rFonts w:ascii="David" w:eastAsia="Calibri" w:hAnsi="David" w:hint="cs"/>
          <w:noProof w:val="0"/>
          <w:sz w:val="22"/>
          <w:szCs w:val="22"/>
          <w:rtl/>
        </w:rPr>
        <w:t xml:space="preserve">כידוע, </w:t>
      </w:r>
      <w:r w:rsidR="00C51BEA" w:rsidRPr="006B5655">
        <w:rPr>
          <w:rFonts w:ascii="David" w:eastAsia="Calibri" w:hAnsi="David"/>
          <w:noProof w:val="0"/>
          <w:sz w:val="22"/>
          <w:szCs w:val="22"/>
          <w:rtl/>
        </w:rPr>
        <w:t xml:space="preserve">במסגרת טענת פרעתי רשמת ההוצאה לפועל מוסמכת להתחשב אך בטענת קיזוז "מוכחת" שקיומה אינו שנוי במחלוקת ולא בטענת קיזוז "נטענת" לגביה תיתכן מחלוקת: </w:t>
      </w:r>
    </w:p>
    <w:p w:rsidR="00C51BEA" w:rsidRPr="00C51BEA" w:rsidRDefault="00C51BEA" w:rsidP="00C51BEA">
      <w:pPr>
        <w:spacing w:line="360" w:lineRule="auto"/>
        <w:rPr>
          <w:rFonts w:ascii="David" w:eastAsia="Calibri" w:hAnsi="David"/>
          <w:noProof w:val="0"/>
          <w:sz w:val="22"/>
          <w:szCs w:val="22"/>
          <w:rtl/>
        </w:rPr>
      </w:pPr>
    </w:p>
    <w:p w:rsidR="00C51BEA" w:rsidRDefault="00C51BEA" w:rsidP="006B5655">
      <w:pPr>
        <w:pStyle w:val="ad"/>
        <w:spacing w:line="276" w:lineRule="auto"/>
        <w:ind w:left="1984" w:right="1418"/>
        <w:jc w:val="both"/>
        <w:rPr>
          <w:rFonts w:ascii="Calibri" w:eastAsia="Calibri" w:hAnsi="Calibri"/>
          <w:noProof w:val="0"/>
          <w:sz w:val="22"/>
          <w:szCs w:val="22"/>
          <w:rtl/>
        </w:rPr>
      </w:pPr>
      <w:r w:rsidRPr="006B5655">
        <w:rPr>
          <w:rFonts w:ascii="Calibri" w:eastAsia="Calibri" w:hAnsi="Calibri"/>
          <w:noProof w:val="0"/>
          <w:sz w:val="22"/>
          <w:szCs w:val="22"/>
          <w:rtl/>
        </w:rPr>
        <w:t xml:space="preserve">"הלכה פסוקה היא, כי במסגרת טענת "פרעתי" ניתן להוכיח גם טענת קיזוז....יחד עם זאת, הפסיקה מכירה ב"סוגים" שונים של זכות הקיזוז: </w:t>
      </w:r>
    </w:p>
    <w:p w:rsidR="006B5655" w:rsidRPr="006B5655" w:rsidRDefault="006B5655" w:rsidP="006B5655">
      <w:pPr>
        <w:pStyle w:val="ad"/>
        <w:spacing w:line="276" w:lineRule="auto"/>
        <w:ind w:left="1984" w:right="1418"/>
        <w:jc w:val="both"/>
        <w:rPr>
          <w:rFonts w:ascii="Calibri" w:eastAsia="Calibri" w:hAnsi="Calibri"/>
          <w:noProof w:val="0"/>
          <w:sz w:val="22"/>
          <w:szCs w:val="22"/>
          <w:rtl/>
        </w:rPr>
      </w:pPr>
    </w:p>
    <w:p w:rsidR="00C51BEA" w:rsidRDefault="006B5655" w:rsidP="006B5655">
      <w:pPr>
        <w:pStyle w:val="ad"/>
        <w:spacing w:line="276" w:lineRule="auto"/>
        <w:ind w:left="1984" w:right="1418"/>
        <w:jc w:val="both"/>
        <w:rPr>
          <w:rFonts w:ascii="Calibri" w:eastAsia="Calibri" w:hAnsi="Calibri"/>
          <w:noProof w:val="0"/>
          <w:sz w:val="22"/>
          <w:szCs w:val="22"/>
          <w:rtl/>
        </w:rPr>
      </w:pPr>
      <w:r w:rsidRPr="006B5655">
        <w:rPr>
          <w:rFonts w:ascii="Calibri" w:eastAsia="Calibri" w:hAnsi="Calibri" w:hint="cs"/>
          <w:noProof w:val="0"/>
          <w:sz w:val="22"/>
          <w:szCs w:val="22"/>
          <w:rtl/>
        </w:rPr>
        <w:t xml:space="preserve">(א) </w:t>
      </w:r>
      <w:r w:rsidR="00C51BEA" w:rsidRPr="006B5655">
        <w:rPr>
          <w:rFonts w:ascii="Calibri" w:eastAsia="Calibri" w:hAnsi="Calibri"/>
          <w:noProof w:val="0"/>
          <w:sz w:val="22"/>
          <w:szCs w:val="22"/>
          <w:rtl/>
        </w:rPr>
        <w:t>זכות שקיומה אינו שנוי במחלוקת, בין אם הזוכה הודה במפורש בקיומה, ובין אם המדובר בזכות חלוטה, כגון זכות שנקבעה בפסק דין או שהיא נובעת מחיוב שדינו כפס"ד, כמשמעותו בסעיף 81 לחוק ההוצל"פ. טענה בדבר זכות קיזוז כאמור, ניתן לטעון גם במסגרת טענת "פרעתי"</w:t>
      </w:r>
    </w:p>
    <w:p w:rsidR="006B5655" w:rsidRPr="006B5655" w:rsidRDefault="006B5655" w:rsidP="006B5655">
      <w:pPr>
        <w:pStyle w:val="ad"/>
        <w:spacing w:line="276" w:lineRule="auto"/>
        <w:ind w:left="1984" w:right="1418"/>
        <w:jc w:val="both"/>
        <w:rPr>
          <w:rFonts w:ascii="Calibri" w:eastAsia="Calibri" w:hAnsi="Calibri"/>
          <w:noProof w:val="0"/>
          <w:sz w:val="22"/>
          <w:szCs w:val="22"/>
          <w:rtl/>
        </w:rPr>
      </w:pPr>
    </w:p>
    <w:p w:rsidR="00C51BEA" w:rsidRDefault="006B5655" w:rsidP="006B5655">
      <w:pPr>
        <w:pStyle w:val="ad"/>
        <w:spacing w:line="276" w:lineRule="auto"/>
        <w:ind w:left="1984" w:right="1418"/>
        <w:jc w:val="both"/>
        <w:rPr>
          <w:rFonts w:ascii="Calibri" w:eastAsia="Calibri" w:hAnsi="Calibri"/>
          <w:noProof w:val="0"/>
          <w:sz w:val="22"/>
          <w:szCs w:val="22"/>
          <w:rtl/>
        </w:rPr>
      </w:pPr>
      <w:r w:rsidRPr="006B5655">
        <w:rPr>
          <w:rFonts w:ascii="Calibri" w:eastAsia="Calibri" w:hAnsi="Calibri" w:hint="cs"/>
          <w:noProof w:val="0"/>
          <w:sz w:val="22"/>
          <w:szCs w:val="22"/>
          <w:rtl/>
        </w:rPr>
        <w:t xml:space="preserve">(ב) </w:t>
      </w:r>
      <w:r w:rsidR="00C51BEA" w:rsidRPr="006B5655">
        <w:rPr>
          <w:rFonts w:ascii="Calibri" w:eastAsia="Calibri" w:hAnsi="Calibri"/>
          <w:noProof w:val="0"/>
          <w:sz w:val="22"/>
          <w:szCs w:val="22"/>
          <w:rtl/>
        </w:rPr>
        <w:t>זכות קיזוז נטענת, או טענה לזכות קיזוז השנויה במחלוקת, היא טענה שבירורה חורג מגדר סמכותו של ראש ההוצל"פ הדן בטענת "פרעתי", ויש לבררה בביהמ"ש המוסמך לכך, ככל עילת תביעה אחרת שיש לחייב כנגד הזוכה.</w:t>
      </w:r>
    </w:p>
    <w:p w:rsidR="006B5655" w:rsidRPr="006B5655" w:rsidRDefault="006B5655" w:rsidP="006B5655">
      <w:pPr>
        <w:pStyle w:val="ad"/>
        <w:spacing w:line="276" w:lineRule="auto"/>
        <w:ind w:left="1984" w:right="1418"/>
        <w:jc w:val="both"/>
        <w:rPr>
          <w:rFonts w:ascii="Calibri" w:eastAsia="Calibri" w:hAnsi="Calibri"/>
          <w:noProof w:val="0"/>
          <w:sz w:val="22"/>
          <w:szCs w:val="22"/>
          <w:rtl/>
        </w:rPr>
      </w:pPr>
    </w:p>
    <w:p w:rsidR="00C51BEA" w:rsidRPr="006B5655" w:rsidRDefault="00C51BEA" w:rsidP="006B5655">
      <w:pPr>
        <w:pStyle w:val="ad"/>
        <w:spacing w:line="276" w:lineRule="auto"/>
        <w:ind w:left="1984" w:right="1418"/>
        <w:jc w:val="both"/>
        <w:rPr>
          <w:rFonts w:ascii="Calibri" w:eastAsia="Calibri" w:hAnsi="Calibri"/>
          <w:noProof w:val="0"/>
          <w:sz w:val="22"/>
          <w:szCs w:val="22"/>
          <w:rtl/>
        </w:rPr>
      </w:pPr>
      <w:r w:rsidRPr="006B5655">
        <w:rPr>
          <w:rFonts w:ascii="Calibri" w:eastAsia="Calibri" w:hAnsi="Calibri"/>
          <w:noProof w:val="0"/>
          <w:sz w:val="22"/>
          <w:szCs w:val="22"/>
          <w:rtl/>
        </w:rPr>
        <w:t xml:space="preserve">הרציונאל העומד ביסוד ההתייחסות השונה לסוגי טענת "פרעתי" השונים הוא העדר סמכות לראש ההוצל"פ לדון בתביעות שיש לחייב כנגד יריבו, באשר תפקידו העיקרי  של ראש ההוצל"פ הוא ביצוע פסקי דין וחיובים מוחלטים אחרים, ואין הוא קובע זכויות של בעלי הדין, אלא במקרים מסוימים ומיוחדים" (ע"א (מחוזי תל אביב) 1279/04‏ </w:t>
      </w:r>
      <w:r w:rsidRPr="006B5655">
        <w:rPr>
          <w:rFonts w:ascii="Calibri" w:eastAsia="Calibri" w:hAnsi="Calibri"/>
          <w:b/>
          <w:bCs/>
          <w:noProof w:val="0"/>
          <w:sz w:val="22"/>
          <w:szCs w:val="22"/>
          <w:rtl/>
        </w:rPr>
        <w:t>כלל חב' לביטוח בע"מ נ' מריאמי</w:t>
      </w:r>
      <w:r w:rsidRPr="006B5655">
        <w:rPr>
          <w:rFonts w:ascii="Calibri" w:eastAsia="Calibri" w:hAnsi="Calibri"/>
          <w:noProof w:val="0"/>
          <w:sz w:val="22"/>
          <w:szCs w:val="22"/>
          <w:rtl/>
        </w:rPr>
        <w:t xml:space="preserve"> (24.6.04)).</w:t>
      </w:r>
    </w:p>
    <w:p w:rsidR="00C51BEA" w:rsidRPr="00C51BEA" w:rsidRDefault="00C51BEA" w:rsidP="00C51BEA">
      <w:pPr>
        <w:spacing w:line="360" w:lineRule="auto"/>
        <w:jc w:val="both"/>
        <w:rPr>
          <w:rFonts w:ascii="David" w:eastAsia="Calibri" w:hAnsi="David"/>
          <w:noProof w:val="0"/>
          <w:sz w:val="22"/>
          <w:szCs w:val="22"/>
          <w:rtl/>
        </w:rPr>
      </w:pPr>
    </w:p>
    <w:p w:rsidR="00E55786" w:rsidRDefault="00E55786" w:rsidP="00E55786">
      <w:pPr>
        <w:pStyle w:val="ad"/>
        <w:numPr>
          <w:ilvl w:val="0"/>
          <w:numId w:val="1"/>
        </w:numPr>
        <w:spacing w:line="360" w:lineRule="auto"/>
        <w:jc w:val="both"/>
        <w:rPr>
          <w:rFonts w:ascii="David" w:eastAsia="Calibri" w:hAnsi="David"/>
          <w:noProof w:val="0"/>
          <w:sz w:val="22"/>
          <w:szCs w:val="22"/>
        </w:rPr>
      </w:pPr>
      <w:r>
        <w:rPr>
          <w:rFonts w:ascii="David" w:eastAsia="Calibri" w:hAnsi="David" w:hint="cs"/>
          <w:noProof w:val="0"/>
          <w:sz w:val="22"/>
          <w:szCs w:val="22"/>
          <w:rtl/>
        </w:rPr>
        <w:lastRenderedPageBreak/>
        <w:t xml:space="preserve">בענייננו מדובר, במובהק, בטענת קיזוז נטענת. אין פסק הדין המחייב את המשיבה להעביר למערער סכום זה או אחר, יש מחלוקת בין הצדדים הן לגבי עצם הזכאות, והן לגבי היקפה (תקופת השכירות וכדומה), והמשיבה טענה כי יש לה טענות נוספות שתוכל לטעון ככל שאכן תוגש תביעה כאמור. </w:t>
      </w:r>
    </w:p>
    <w:p w:rsidR="00E55786" w:rsidRPr="00E55786" w:rsidRDefault="00E55786" w:rsidP="00E55786">
      <w:pPr>
        <w:spacing w:line="360" w:lineRule="auto"/>
        <w:ind w:left="360"/>
        <w:jc w:val="both"/>
        <w:rPr>
          <w:rFonts w:ascii="David" w:eastAsia="Calibri" w:hAnsi="David"/>
          <w:noProof w:val="0"/>
          <w:sz w:val="22"/>
          <w:szCs w:val="22"/>
        </w:rPr>
      </w:pPr>
    </w:p>
    <w:p w:rsidR="00C51BEA" w:rsidRPr="00C51BEA" w:rsidRDefault="00C51BEA" w:rsidP="00360507">
      <w:pPr>
        <w:pStyle w:val="ad"/>
        <w:numPr>
          <w:ilvl w:val="0"/>
          <w:numId w:val="1"/>
        </w:numPr>
        <w:spacing w:line="360" w:lineRule="auto"/>
        <w:jc w:val="both"/>
        <w:rPr>
          <w:rFonts w:ascii="David" w:eastAsia="Calibri" w:hAnsi="David"/>
          <w:noProof w:val="0"/>
          <w:sz w:val="22"/>
          <w:szCs w:val="22"/>
          <w:rtl/>
        </w:rPr>
      </w:pPr>
      <w:r w:rsidRPr="00C51BEA">
        <w:rPr>
          <w:rFonts w:ascii="David" w:eastAsia="Calibri" w:hAnsi="David"/>
          <w:noProof w:val="0"/>
          <w:sz w:val="22"/>
          <w:szCs w:val="22"/>
          <w:rtl/>
        </w:rPr>
        <w:t xml:space="preserve">עוד יותר כך בשים לב לכך שטענת קיזוז ביחס לחוב מזונות מחייבת - ככלל - הסכמה של הזוכה (ראו לדוגמה ע"ר (משפחה טבריה) 37966-06-11‏ </w:t>
      </w:r>
      <w:r w:rsidRPr="00C51BEA">
        <w:rPr>
          <w:rFonts w:ascii="David" w:eastAsia="Calibri" w:hAnsi="David"/>
          <w:b/>
          <w:bCs/>
          <w:noProof w:val="0"/>
          <w:sz w:val="22"/>
          <w:szCs w:val="22"/>
          <w:rtl/>
        </w:rPr>
        <w:t>פלוני נ' פלונית</w:t>
      </w:r>
      <w:r w:rsidRPr="00C51BEA">
        <w:rPr>
          <w:rFonts w:ascii="David" w:eastAsia="Calibri" w:hAnsi="David"/>
          <w:noProof w:val="0"/>
          <w:sz w:val="22"/>
          <w:szCs w:val="22"/>
          <w:rtl/>
        </w:rPr>
        <w:t xml:space="preserve"> (25.1.12); ע"א 779/76 </w:t>
      </w:r>
      <w:r w:rsidRPr="00C51BEA">
        <w:rPr>
          <w:rFonts w:ascii="David" w:eastAsia="Calibri" w:hAnsi="David"/>
          <w:b/>
          <w:bCs/>
          <w:noProof w:val="0"/>
          <w:sz w:val="22"/>
          <w:szCs w:val="22"/>
          <w:rtl/>
        </w:rPr>
        <w:t>שוחט נ' שוחט</w:t>
      </w:r>
      <w:r w:rsidRPr="00C51BEA">
        <w:rPr>
          <w:rFonts w:ascii="David" w:eastAsia="Calibri" w:hAnsi="David"/>
          <w:noProof w:val="0"/>
          <w:sz w:val="22"/>
          <w:szCs w:val="22"/>
          <w:rtl/>
        </w:rPr>
        <w:t xml:space="preserve">, פ"ד לב(1) 580, 581). הנמקתה של כבוד הרשמת בהקשר זה מקובלת על בית המשפט ואין מקום להאריך בעניינה. </w:t>
      </w:r>
    </w:p>
    <w:p w:rsidR="00C51BEA" w:rsidRPr="00C51BEA" w:rsidRDefault="00C51BEA" w:rsidP="00C51BEA">
      <w:pPr>
        <w:spacing w:line="360" w:lineRule="auto"/>
        <w:jc w:val="both"/>
        <w:rPr>
          <w:rFonts w:ascii="David" w:eastAsia="Calibri" w:hAnsi="David"/>
          <w:noProof w:val="0"/>
          <w:sz w:val="22"/>
          <w:szCs w:val="22"/>
          <w:rtl/>
        </w:rPr>
      </w:pPr>
    </w:p>
    <w:p w:rsidR="00C51BEA" w:rsidRPr="00C51BEA" w:rsidRDefault="00C51BEA" w:rsidP="00952EEF">
      <w:pPr>
        <w:pStyle w:val="ad"/>
        <w:numPr>
          <w:ilvl w:val="0"/>
          <w:numId w:val="1"/>
        </w:numPr>
        <w:spacing w:line="360" w:lineRule="auto"/>
        <w:jc w:val="both"/>
        <w:rPr>
          <w:rFonts w:ascii="David" w:eastAsia="Calibri" w:hAnsi="David"/>
          <w:noProof w:val="0"/>
          <w:sz w:val="22"/>
          <w:szCs w:val="22"/>
          <w:rtl/>
        </w:rPr>
      </w:pPr>
      <w:r w:rsidRPr="00C51BEA">
        <w:rPr>
          <w:rFonts w:ascii="David" w:eastAsia="Calibri" w:hAnsi="David"/>
          <w:noProof w:val="0"/>
          <w:sz w:val="22"/>
          <w:szCs w:val="22"/>
          <w:rtl/>
        </w:rPr>
        <w:t xml:space="preserve">סוף דבר הערעור בכל הנוגע להגדלת החוב </w:t>
      </w:r>
      <w:r w:rsidRPr="00AB3FD9">
        <w:rPr>
          <w:rFonts w:ascii="David" w:eastAsia="Calibri" w:hAnsi="David"/>
          <w:b/>
          <w:bCs/>
          <w:noProof w:val="0"/>
          <w:sz w:val="22"/>
          <w:szCs w:val="22"/>
          <w:u w:val="single"/>
          <w:rtl/>
        </w:rPr>
        <w:t>הראשונה</w:t>
      </w:r>
      <w:r w:rsidRPr="00C51BEA">
        <w:rPr>
          <w:rFonts w:ascii="David" w:eastAsia="Calibri" w:hAnsi="David"/>
          <w:noProof w:val="0"/>
          <w:sz w:val="22"/>
          <w:szCs w:val="22"/>
          <w:rtl/>
        </w:rPr>
        <w:t xml:space="preserve"> מתקבל, והיא תתוקן כך שתחושב מחדש בהתאם לאמור בפסקה </w:t>
      </w:r>
      <w:r w:rsidR="006B5655">
        <w:rPr>
          <w:rFonts w:ascii="David" w:eastAsia="Calibri" w:hAnsi="David" w:hint="cs"/>
          <w:noProof w:val="0"/>
          <w:sz w:val="22"/>
          <w:szCs w:val="22"/>
          <w:rtl/>
        </w:rPr>
        <w:t>1</w:t>
      </w:r>
      <w:r w:rsidR="00952EEF">
        <w:rPr>
          <w:rFonts w:ascii="David" w:eastAsia="Calibri" w:hAnsi="David" w:hint="cs"/>
          <w:noProof w:val="0"/>
          <w:sz w:val="22"/>
          <w:szCs w:val="22"/>
          <w:rtl/>
        </w:rPr>
        <w:t>7</w:t>
      </w:r>
      <w:r w:rsidRPr="00C51BEA">
        <w:rPr>
          <w:rFonts w:ascii="David" w:eastAsia="Calibri" w:hAnsi="David"/>
          <w:noProof w:val="0"/>
          <w:sz w:val="22"/>
          <w:szCs w:val="22"/>
          <w:rtl/>
        </w:rPr>
        <w:t xml:space="preserve">; בכל הנוגע להגדלת החוב </w:t>
      </w:r>
      <w:r w:rsidRPr="00AB3FD9">
        <w:rPr>
          <w:rFonts w:ascii="David" w:eastAsia="Calibri" w:hAnsi="David"/>
          <w:b/>
          <w:bCs/>
          <w:noProof w:val="0"/>
          <w:sz w:val="22"/>
          <w:szCs w:val="22"/>
          <w:u w:val="single"/>
          <w:rtl/>
        </w:rPr>
        <w:t>השנייה</w:t>
      </w:r>
      <w:r w:rsidRPr="00C51BEA">
        <w:rPr>
          <w:rFonts w:ascii="David" w:eastAsia="Calibri" w:hAnsi="David"/>
          <w:noProof w:val="0"/>
          <w:sz w:val="22"/>
          <w:szCs w:val="22"/>
          <w:rtl/>
        </w:rPr>
        <w:t xml:space="preserve"> הערעור מתקבל בהסכמה והיא תבוטל באופן מוחלט</w:t>
      </w:r>
      <w:r w:rsidR="00E55786">
        <w:rPr>
          <w:rFonts w:ascii="David" w:eastAsia="Calibri" w:hAnsi="David" w:hint="cs"/>
          <w:noProof w:val="0"/>
          <w:sz w:val="22"/>
          <w:szCs w:val="22"/>
          <w:rtl/>
        </w:rPr>
        <w:t xml:space="preserve"> (כאמור, כך היא גם שורת הדין)</w:t>
      </w:r>
      <w:r w:rsidRPr="00C51BEA">
        <w:rPr>
          <w:rFonts w:ascii="David" w:eastAsia="Calibri" w:hAnsi="David"/>
          <w:noProof w:val="0"/>
          <w:sz w:val="22"/>
          <w:szCs w:val="22"/>
          <w:rtl/>
        </w:rPr>
        <w:t>; הערעור בכל הנוגע לדחיית טענת הפרעתי המתבססת על קיזוז חלקו של המערער בדמי השכירות נדח</w:t>
      </w:r>
      <w:r w:rsidR="00E55786">
        <w:rPr>
          <w:rFonts w:ascii="David" w:eastAsia="Calibri" w:hAnsi="David" w:hint="cs"/>
          <w:noProof w:val="0"/>
          <w:sz w:val="22"/>
          <w:szCs w:val="22"/>
          <w:rtl/>
        </w:rPr>
        <w:t>ה</w:t>
      </w:r>
      <w:r w:rsidRPr="00C51BEA">
        <w:rPr>
          <w:rFonts w:ascii="David" w:eastAsia="Calibri" w:hAnsi="David"/>
          <w:noProof w:val="0"/>
          <w:sz w:val="22"/>
          <w:szCs w:val="22"/>
          <w:rtl/>
        </w:rPr>
        <w:t xml:space="preserve">. </w:t>
      </w:r>
      <w:r w:rsidR="00AB3FD9">
        <w:rPr>
          <w:rFonts w:ascii="David" w:eastAsia="Calibri" w:hAnsi="David" w:hint="cs"/>
          <w:noProof w:val="0"/>
          <w:sz w:val="22"/>
          <w:szCs w:val="22"/>
          <w:rtl/>
        </w:rPr>
        <w:t>אין באמור כדי להביע כל עמדה ביתר המחלוקות בין הצדדים, לרבות בסוגיית זכותו של המערער לחלק מדמי השכירות שנגבו</w:t>
      </w:r>
      <w:r w:rsidR="00360507">
        <w:rPr>
          <w:rFonts w:ascii="David" w:eastAsia="Calibri" w:hAnsi="David" w:hint="cs"/>
          <w:noProof w:val="0"/>
          <w:sz w:val="22"/>
          <w:szCs w:val="22"/>
          <w:rtl/>
        </w:rPr>
        <w:t xml:space="preserve"> (וגם בעניין זה טענות המשיבה שמורות לה)</w:t>
      </w:r>
      <w:r w:rsidR="00AB3FD9">
        <w:rPr>
          <w:rFonts w:ascii="David" w:eastAsia="Calibri" w:hAnsi="David" w:hint="cs"/>
          <w:noProof w:val="0"/>
          <w:sz w:val="22"/>
          <w:szCs w:val="22"/>
          <w:rtl/>
        </w:rPr>
        <w:t xml:space="preserve">, או כדי להביע עמדה לגבי התנהלות הצדדים בהקשרים החורגים מערעור זה. </w:t>
      </w:r>
      <w:r w:rsidR="00AB3FD9" w:rsidRPr="00360507">
        <w:rPr>
          <w:rFonts w:ascii="David" w:eastAsia="Calibri" w:hAnsi="David" w:hint="cs"/>
          <w:b/>
          <w:bCs/>
          <w:noProof w:val="0"/>
          <w:sz w:val="22"/>
          <w:szCs w:val="22"/>
          <w:u w:val="single"/>
          <w:rtl/>
        </w:rPr>
        <w:t>טוב יעשו הצדדים אם אכן יצליחו להגיע למתווה מוסכם בכלל המחלוקות</w:t>
      </w:r>
      <w:r w:rsidR="00AB3FD9">
        <w:rPr>
          <w:rFonts w:ascii="David" w:eastAsia="Calibri" w:hAnsi="David" w:hint="cs"/>
          <w:noProof w:val="0"/>
          <w:sz w:val="22"/>
          <w:szCs w:val="22"/>
          <w:rtl/>
        </w:rPr>
        <w:t xml:space="preserve">, והדברים כבר נאמרו בדיון. </w:t>
      </w:r>
    </w:p>
    <w:p w:rsidR="00C51BEA" w:rsidRPr="00C51BEA" w:rsidRDefault="00C51BEA" w:rsidP="00C51BEA">
      <w:pPr>
        <w:spacing w:line="360" w:lineRule="auto"/>
        <w:jc w:val="both"/>
        <w:rPr>
          <w:rFonts w:ascii="David" w:eastAsia="Calibri" w:hAnsi="David"/>
          <w:noProof w:val="0"/>
          <w:sz w:val="22"/>
          <w:szCs w:val="22"/>
          <w:rtl/>
        </w:rPr>
      </w:pPr>
    </w:p>
    <w:p w:rsidR="00C51BEA" w:rsidRPr="00C51BEA" w:rsidRDefault="00C51BEA" w:rsidP="00360507">
      <w:pPr>
        <w:pStyle w:val="ad"/>
        <w:numPr>
          <w:ilvl w:val="0"/>
          <w:numId w:val="1"/>
        </w:numPr>
        <w:spacing w:line="360" w:lineRule="auto"/>
        <w:jc w:val="both"/>
        <w:rPr>
          <w:rFonts w:ascii="David" w:eastAsia="Calibri" w:hAnsi="David"/>
          <w:noProof w:val="0"/>
          <w:sz w:val="22"/>
          <w:szCs w:val="22"/>
          <w:rtl/>
        </w:rPr>
      </w:pPr>
      <w:r w:rsidRPr="00C51BEA">
        <w:rPr>
          <w:rFonts w:ascii="David" w:eastAsia="Calibri" w:hAnsi="David"/>
          <w:noProof w:val="0"/>
          <w:sz w:val="22"/>
          <w:szCs w:val="22"/>
          <w:rtl/>
        </w:rPr>
        <w:t xml:space="preserve">בהתחשב בכך שהערעור ביחס לשתי ההגדלות התקבל (אם כי הערעור בטענת הקיזוז נדחה), ובשים לב למכלול הנסיבות, תישא המשיבה בהוצאות המערער בסך </w:t>
      </w:r>
      <w:r w:rsidR="00360507">
        <w:rPr>
          <w:rFonts w:ascii="David" w:eastAsia="Calibri" w:hAnsi="David" w:hint="cs"/>
          <w:noProof w:val="0"/>
          <w:sz w:val="22"/>
          <w:szCs w:val="22"/>
          <w:rtl/>
        </w:rPr>
        <w:t>1</w:t>
      </w:r>
      <w:r w:rsidRPr="00C51BEA">
        <w:rPr>
          <w:rFonts w:ascii="David" w:eastAsia="Calibri" w:hAnsi="David"/>
          <w:noProof w:val="0"/>
          <w:sz w:val="22"/>
          <w:szCs w:val="22"/>
          <w:rtl/>
        </w:rPr>
        <w:t>,</w:t>
      </w:r>
      <w:r w:rsidR="00360507">
        <w:rPr>
          <w:rFonts w:ascii="David" w:eastAsia="Calibri" w:hAnsi="David" w:hint="cs"/>
          <w:noProof w:val="0"/>
          <w:sz w:val="22"/>
          <w:szCs w:val="22"/>
          <w:rtl/>
        </w:rPr>
        <w:t>6</w:t>
      </w:r>
      <w:r w:rsidRPr="00C51BEA">
        <w:rPr>
          <w:rFonts w:ascii="David" w:eastAsia="Calibri" w:hAnsi="David"/>
          <w:noProof w:val="0"/>
          <w:sz w:val="22"/>
          <w:szCs w:val="22"/>
          <w:rtl/>
        </w:rPr>
        <w:t xml:space="preserve">00 ש"ח בלבד. </w:t>
      </w:r>
    </w:p>
    <w:p w:rsidR="002914D6" w:rsidRDefault="002914D6">
      <w:pPr>
        <w:spacing w:line="360" w:lineRule="auto"/>
        <w:jc w:val="both"/>
        <w:rPr>
          <w:rFonts w:ascii="Arial" w:hAnsi="Arial"/>
          <w:noProof w:val="0"/>
          <w:rtl/>
        </w:rPr>
      </w:pPr>
    </w:p>
    <w:p w:rsidR="002914D6" w:rsidRPr="00C51BEA" w:rsidRDefault="00011212">
      <w:pPr>
        <w:spacing w:line="360" w:lineRule="auto"/>
        <w:jc w:val="both"/>
        <w:rPr>
          <w:rFonts w:ascii="Arial" w:hAnsi="Arial"/>
          <w:noProof w:val="0"/>
          <w:sz w:val="22"/>
          <w:szCs w:val="22"/>
          <w:rtl/>
        </w:rPr>
      </w:pPr>
      <w:r w:rsidRPr="00C51BEA">
        <w:rPr>
          <w:rFonts w:ascii="Arial" w:hAnsi="Arial"/>
          <w:noProof w:val="0"/>
          <w:sz w:val="22"/>
          <w:szCs w:val="22"/>
          <w:rtl/>
        </w:rPr>
        <w:t xml:space="preserve">ניתן היום,  </w:t>
      </w:r>
      <w:sdt>
        <w:sdtPr>
          <w:rPr>
            <w:sz w:val="22"/>
            <w:szCs w:val="22"/>
            <w:rtl/>
          </w:rPr>
          <w:alias w:val="1455"/>
          <w:tag w:val="1455"/>
          <w:id w:val="550738450"/>
          <w:text w:multiLine="1"/>
        </w:sdtPr>
        <w:sdtEndPr/>
        <w:sdtContent>
          <w:r>
            <w:rPr>
              <w:rFonts w:ascii="Arial" w:hAnsi="Arial"/>
              <w:noProof w:val="0"/>
              <w:sz w:val="22"/>
              <w:szCs w:val="22"/>
              <w:rtl/>
            </w:rPr>
            <w:t>ג' ניסן תשפ"ב</w:t>
          </w:r>
        </w:sdtContent>
      </w:sdt>
      <w:r w:rsidRPr="00C51BEA">
        <w:rPr>
          <w:rFonts w:ascii="Arial" w:hAnsi="Arial"/>
          <w:noProof w:val="0"/>
          <w:sz w:val="22"/>
          <w:szCs w:val="22"/>
          <w:rtl/>
        </w:rPr>
        <w:t xml:space="preserve">, </w:t>
      </w:r>
      <w:sdt>
        <w:sdtPr>
          <w:rPr>
            <w:sz w:val="22"/>
            <w:szCs w:val="22"/>
            <w:rtl/>
          </w:rPr>
          <w:alias w:val="1456"/>
          <w:tag w:val="1456"/>
          <w:id w:val="213085585"/>
          <w:text w:multiLine="1"/>
        </w:sdtPr>
        <w:sdtEndPr/>
        <w:sdtContent>
          <w:r>
            <w:rPr>
              <w:rFonts w:ascii="Arial" w:hAnsi="Arial"/>
              <w:noProof w:val="0"/>
              <w:sz w:val="22"/>
              <w:szCs w:val="22"/>
              <w:rtl/>
            </w:rPr>
            <w:t>04 אפריל 2022</w:t>
          </w:r>
        </w:sdtContent>
      </w:sdt>
      <w:r w:rsidRPr="00C51BEA">
        <w:rPr>
          <w:rFonts w:ascii="Arial" w:hAnsi="Arial"/>
          <w:noProof w:val="0"/>
          <w:sz w:val="22"/>
          <w:szCs w:val="22"/>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218749020"/>
        </w:sdtPr>
        <w:sdtEndPr/>
        <w:sdtContent>
          <w:r w:rsidR="00CF0B65">
            <w:drawing>
              <wp:inline distT="0" distB="0" distL="0" distR="0" wp14:editId="50D07946">
                <wp:extent cx="952499"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2499" cy="93345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FAF" w:rsidRDefault="00D75FAF">
      <w:r>
        <w:separator/>
      </w:r>
    </w:p>
  </w:endnote>
  <w:endnote w:type="continuationSeparator" w:id="0">
    <w:p w:rsidR="00D75FAF" w:rsidRDefault="00D7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E43" w:rsidRDefault="007D2E4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C0C6D">
      <w:rPr>
        <w:rStyle w:val="ab"/>
        <w:rtl/>
      </w:rPr>
      <w:t>6</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C0C6D">
      <w:rPr>
        <w:rStyle w:val="ab"/>
        <w:rtl/>
      </w:rPr>
      <w:t>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E43" w:rsidRDefault="007D2E4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FAF" w:rsidRDefault="00D75FAF">
      <w:r>
        <w:separator/>
      </w:r>
    </w:p>
  </w:footnote>
  <w:footnote w:type="continuationSeparator" w:id="0">
    <w:p w:rsidR="00D75FAF" w:rsidRDefault="00D75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E43" w:rsidRDefault="007D2E4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2"/>
      <w:gridCol w:w="3593"/>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04 אפריל 2022</w:t>
              </w:r>
            </w:p>
          </w:tc>
        </w:sdtContent>
      </w:sdt>
    </w:tr>
    <w:tr w:rsidR="002914D6">
      <w:trPr>
        <w:trHeight w:val="337"/>
        <w:jc w:val="center"/>
      </w:trPr>
      <w:tc>
        <w:tcPr>
          <w:tcW w:w="8721" w:type="dxa"/>
          <w:gridSpan w:val="2"/>
        </w:tcPr>
        <w:p w:rsidR="002914D6" w:rsidRDefault="005C0C6D" w:rsidP="00C52061">
          <w:pPr>
            <w:rPr>
              <w:b/>
              <w:bCs/>
              <w:noProof w:val="0"/>
              <w:sz w:val="26"/>
              <w:szCs w:val="26"/>
              <w:rtl/>
            </w:rPr>
          </w:pPr>
          <w:sdt>
            <w:sdtPr>
              <w:rPr>
                <w:rtl/>
              </w:rPr>
              <w:alias w:val="1170"/>
              <w:tag w:val="1170"/>
              <w:id w:val="-1240940633"/>
              <w:text w:multiLine="1"/>
            </w:sdtPr>
            <w:sdtEndPr/>
            <w:sdtContent>
              <w:r w:rsidR="00521467">
                <w:rPr>
                  <w:b/>
                  <w:bCs/>
                  <w:noProof w:val="0"/>
                  <w:sz w:val="26"/>
                  <w:szCs w:val="26"/>
                  <w:rtl/>
                </w:rPr>
                <w:t>ע"ר</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44623-02-22</w:t>
              </w:r>
            </w:sdtContent>
          </w:sdt>
          <w:r w:rsidR="00011212">
            <w:rPr>
              <w:b/>
              <w:bCs/>
              <w:noProof w:val="0"/>
              <w:sz w:val="26"/>
              <w:szCs w:val="26"/>
              <w:rtl/>
            </w:rPr>
            <w:t xml:space="preserve"> </w:t>
          </w:r>
          <w:sdt>
            <w:sdtPr>
              <w:rPr>
                <w:rtl/>
              </w:rPr>
              <w:alias w:val="1172"/>
              <w:tag w:val="1172"/>
              <w:id w:val="1658414112"/>
              <w:text w:multiLine="1"/>
            </w:sdtPr>
            <w:sdtEndPr/>
            <w:sdtContent>
              <w:r w:rsidR="00C52061">
                <w:rPr>
                  <w:rFonts w:hint="cs"/>
                  <w:b/>
                  <w:bCs/>
                  <w:noProof w:val="0"/>
                  <w:sz w:val="26"/>
                  <w:szCs w:val="26"/>
                  <w:rtl/>
                </w:rPr>
                <w:t xml:space="preserve">פלוני </w:t>
              </w:r>
              <w:r w:rsidR="00521467">
                <w:rPr>
                  <w:b/>
                  <w:bCs/>
                  <w:noProof w:val="0"/>
                  <w:sz w:val="26"/>
                  <w:szCs w:val="26"/>
                  <w:rtl/>
                </w:rPr>
                <w:t xml:space="preserve">נ' </w:t>
              </w:r>
              <w:r w:rsidR="00C52061">
                <w:rPr>
                  <w:rFonts w:hint="cs"/>
                  <w:b/>
                  <w:bCs/>
                  <w:noProof w:val="0"/>
                  <w:sz w:val="26"/>
                  <w:szCs w:val="26"/>
                  <w:rtl/>
                </w:rPr>
                <w:t>פלונית</w:t>
              </w:r>
            </w:sdtContent>
          </w:sdt>
        </w:p>
        <w:p w:rsidR="002914D6" w:rsidRDefault="002914D6">
          <w:pPr>
            <w:rPr>
              <w:rtl/>
            </w:rPr>
          </w:pPr>
        </w:p>
        <w:p w:rsidR="00E23B60" w:rsidRDefault="00E23B60">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E43" w:rsidRDefault="007D2E4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5009B9"/>
    <w:multiLevelType w:val="hybridMultilevel"/>
    <w:tmpl w:val="5E6A7BC0"/>
    <w:lvl w:ilvl="0" w:tplc="0409000F">
      <w:start w:val="1"/>
      <w:numFmt w:val="decimal"/>
      <w:lvlText w:val="%1."/>
      <w:lvlJc w:val="left"/>
      <w:pPr>
        <w:ind w:left="720" w:hanging="360"/>
      </w:pPr>
    </w:lvl>
    <w:lvl w:ilvl="1" w:tplc="02C0EF16">
      <w:start w:val="1"/>
      <w:numFmt w:val="hebrew1"/>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5145"/>
    <w:rsid w:val="000202B0"/>
    <w:rsid w:val="00110618"/>
    <w:rsid w:val="00142F62"/>
    <w:rsid w:val="001B1C63"/>
    <w:rsid w:val="001B328D"/>
    <w:rsid w:val="001D7508"/>
    <w:rsid w:val="001D7EFE"/>
    <w:rsid w:val="00217D8B"/>
    <w:rsid w:val="002914D6"/>
    <w:rsid w:val="002F5307"/>
    <w:rsid w:val="00341B4B"/>
    <w:rsid w:val="00360507"/>
    <w:rsid w:val="003826C0"/>
    <w:rsid w:val="003C6DB2"/>
    <w:rsid w:val="003E2406"/>
    <w:rsid w:val="003F459D"/>
    <w:rsid w:val="0041661C"/>
    <w:rsid w:val="004A531F"/>
    <w:rsid w:val="004D1DA8"/>
    <w:rsid w:val="00510A80"/>
    <w:rsid w:val="00521467"/>
    <w:rsid w:val="005C0C6D"/>
    <w:rsid w:val="00620A51"/>
    <w:rsid w:val="00644313"/>
    <w:rsid w:val="006A612D"/>
    <w:rsid w:val="006B5655"/>
    <w:rsid w:val="007D2E43"/>
    <w:rsid w:val="007F153A"/>
    <w:rsid w:val="00806549"/>
    <w:rsid w:val="00822AA5"/>
    <w:rsid w:val="008757D3"/>
    <w:rsid w:val="00881042"/>
    <w:rsid w:val="00893B00"/>
    <w:rsid w:val="00952EEF"/>
    <w:rsid w:val="00965CFE"/>
    <w:rsid w:val="00996C44"/>
    <w:rsid w:val="009E673C"/>
    <w:rsid w:val="00A62D3C"/>
    <w:rsid w:val="00AB3FD9"/>
    <w:rsid w:val="00AF502D"/>
    <w:rsid w:val="00BC74A0"/>
    <w:rsid w:val="00BE41F9"/>
    <w:rsid w:val="00BE4806"/>
    <w:rsid w:val="00C41BC8"/>
    <w:rsid w:val="00C51BEA"/>
    <w:rsid w:val="00C52061"/>
    <w:rsid w:val="00C60564"/>
    <w:rsid w:val="00CF0B65"/>
    <w:rsid w:val="00D008EE"/>
    <w:rsid w:val="00D358FE"/>
    <w:rsid w:val="00D54B3A"/>
    <w:rsid w:val="00D615F8"/>
    <w:rsid w:val="00D75FAF"/>
    <w:rsid w:val="00DB54C4"/>
    <w:rsid w:val="00E07653"/>
    <w:rsid w:val="00E23B60"/>
    <w:rsid w:val="00E50BBB"/>
    <w:rsid w:val="00E55786"/>
    <w:rsid w:val="00E61D70"/>
    <w:rsid w:val="00E83687"/>
    <w:rsid w:val="00F03998"/>
    <w:rsid w:val="00F50E07"/>
    <w:rsid w:val="00F9100E"/>
    <w:rsid w:val="00F929AC"/>
    <w:rsid w:val="00FA40E8"/>
    <w:rsid w:val="00FA627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C51B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30102">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2198</Words>
  <Characters>10990</Characters>
  <Application>Microsoft Office Word</Application>
  <DocSecurity>4</DocSecurity>
  <Lines>91</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cp:lastPrinted>2022-04-04T10:27:00Z</cp:lastPrinted>
  <dcterms:created xsi:type="dcterms:W3CDTF">2023-08-13T11:51:00Z</dcterms:created>
  <dcterms:modified xsi:type="dcterms:W3CDTF">2023-08-13T11:51:00Z</dcterms:modified>
</cp:coreProperties>
</file>